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wmf" ContentType="image/x-wmf"/>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ind w:start="708" w:end="0" w:hanging="708"/>
        <w:jc w:val="both"/>
        <w:rPr>
          <w:lang w:val="ca-ES" w:bidi="ar-SA"/>
        </w:rPr>
      </w:pPr>
      <w:r>
        <w:rPr>
          <w:lang w:val="ca-ES" w:bidi="ar-SA"/>
        </w:rPr>
      </w:r>
    </w:p>
    <w:p>
      <w:pPr>
        <w:pStyle w:val="Normal"/>
        <w:jc w:val="both"/>
        <w:rPr>
          <w:lang w:val="ca-ES" w:bidi="ar-SA"/>
        </w:rPr>
      </w:pPr>
      <w:r>
        <w:rPr>
          <w:lang w:val="ca-ES" w:bidi="ar-SA"/>
        </w:rPr>
        <w:tab/>
        <w:tab/>
        <w:tab/>
        <w:tab/>
        <w:tab/>
        <w:tab/>
        <w:tab/>
        <w:tab/>
        <w:tab/>
        <w:tab/>
        <w:tab/>
        <w:tab/>
      </w:r>
    </w:p>
    <w:p>
      <w:pPr>
        <w:pStyle w:val="Normal"/>
        <w:jc w:val="both"/>
        <w:rPr>
          <w:b/>
          <w:b/>
          <w:sz w:val="40"/>
          <w:szCs w:val="40"/>
          <w:lang w:val="ca-ES" w:bidi="ar-SA"/>
        </w:rPr>
      </w:pPr>
      <w:r>
        <w:rPr>
          <w:b/>
          <w:sz w:val="40"/>
          <w:szCs w:val="40"/>
          <w:lang w:val="ca-ES" w:bidi="ar-SA"/>
        </w:rPr>
      </w:r>
    </w:p>
    <w:p>
      <w:pPr>
        <w:pStyle w:val="Normal"/>
        <w:jc w:val="both"/>
        <w:rPr>
          <w:b/>
          <w:b/>
          <w:color w:val="1F497D"/>
          <w:sz w:val="48"/>
          <w:szCs w:val="48"/>
          <w:lang w:val="ca-ES" w:bidi="ar-SA"/>
        </w:rPr>
      </w:pPr>
      <w:r>
        <w:rPr>
          <w:b/>
          <w:color w:val="1F497D"/>
          <w:sz w:val="48"/>
          <w:szCs w:val="48"/>
          <w:lang w:val="ca-ES" w:bidi="ar-SA"/>
        </w:rPr>
      </w:r>
    </w:p>
    <w:p>
      <w:pPr>
        <w:pStyle w:val="Normal"/>
        <w:jc w:val="both"/>
        <w:rPr>
          <w:b/>
          <w:b/>
          <w:color w:val="1F497D"/>
          <w:sz w:val="48"/>
          <w:szCs w:val="48"/>
          <w:lang w:val="ca-ES" w:bidi="ar-SA"/>
        </w:rPr>
      </w:pPr>
      <w:r>
        <w:rPr>
          <w:b/>
          <w:color w:val="1F497D"/>
          <w:sz w:val="48"/>
          <w:szCs w:val="48"/>
          <w:lang w:val="ca-ES" w:bidi="ar-SA"/>
        </w:rPr>
      </w:r>
    </w:p>
    <w:p>
      <w:pPr>
        <w:pStyle w:val="Normal"/>
        <w:jc w:val="both"/>
        <w:rPr>
          <w:b/>
          <w:b/>
          <w:color w:val="1F497D"/>
          <w:sz w:val="48"/>
          <w:szCs w:val="48"/>
          <w:lang w:val="ca-ES" w:bidi="ar-SA"/>
        </w:rPr>
      </w:pPr>
      <w:r>
        <w:rPr>
          <w:b/>
          <w:color w:val="1F497D"/>
          <w:sz w:val="48"/>
          <w:szCs w:val="48"/>
          <w:lang w:val="ca-ES" w:bidi="ar-SA"/>
        </w:rPr>
        <w:t xml:space="preserve">Concurs d'Idees </w:t>
      </w:r>
    </w:p>
    <w:p>
      <w:pPr>
        <w:pStyle w:val="Normal"/>
        <w:jc w:val="both"/>
        <w:rPr>
          <w:b/>
          <w:b/>
          <w:color w:val="1F497D"/>
          <w:sz w:val="48"/>
          <w:szCs w:val="48"/>
          <w:lang w:val="ca-ES" w:bidi="ar-SA"/>
        </w:rPr>
      </w:pPr>
      <w:r>
        <w:rPr>
          <w:b/>
          <w:color w:val="1F497D"/>
          <w:sz w:val="48"/>
          <w:szCs w:val="48"/>
          <w:lang w:val="ca-ES" w:bidi="ar-SA"/>
        </w:rPr>
        <w:t xml:space="preserve">Energy Transition Cities 2016 2ª Edició </w:t>
      </w:r>
    </w:p>
    <w:p>
      <w:pPr>
        <w:pStyle w:val="Normal"/>
        <w:jc w:val="both"/>
        <w:rPr>
          <w:lang w:val="ca-ES" w:bidi="ar-SA"/>
        </w:rPr>
      </w:pPr>
      <w:r>
        <w:rPr>
          <w:lang w:val="ca-ES" w:bidi="ar-SA"/>
        </w:rPr>
      </w:r>
    </w:p>
    <w:p>
      <w:pPr>
        <w:pStyle w:val="Normal"/>
        <w:jc w:val="both"/>
        <w:rPr>
          <w:lang w:val="ca-ES" w:bidi="ar-SA"/>
        </w:rPr>
      </w:pPr>
      <w:r>
        <w:rPr>
          <w:lang w:val="ca-ES" w:bidi="ar-SA"/>
        </w:rPr>
      </w:r>
    </w:p>
    <w:p>
      <w:pPr>
        <w:pStyle w:val="Normal"/>
        <w:jc w:val="both"/>
        <w:rPr/>
      </w:pPr>
      <w:r>
        <w:rPr/>
      </w:r>
    </w:p>
    <w:p>
      <w:pPr>
        <w:pStyle w:val="Ndice1"/>
        <w:tabs>
          <w:tab w:val="right" w:pos="8504" w:leader="dot"/>
        </w:tabs>
        <w:jc w:val="both"/>
        <w:rPr/>
      </w:pPr>
      <w:r>
        <w:fldChar w:fldCharType="begin"/>
      </w:r>
      <w:r>
        <w:instrText> TOC \o "1-9" \h</w:instrText>
      </w:r>
      <w:r>
        <w:fldChar w:fldCharType="separate"/>
      </w:r>
      <w:hyperlink w:anchor="__RefHeading___Toc3435_1168995206">
        <w:r>
          <w:rPr>
            <w:rStyle w:val="Enlacedelndice"/>
            <w:lang w:val="ca-ES" w:bidi="ar-SA"/>
          </w:rPr>
          <w:t>Context</w:t>
          <w:tab/>
          <w:t>3</w:t>
        </w:r>
      </w:hyperlink>
    </w:p>
    <w:p>
      <w:pPr>
        <w:pStyle w:val="Ndice1"/>
        <w:tabs>
          <w:tab w:val="right" w:pos="8504" w:leader="dot"/>
        </w:tabs>
        <w:jc w:val="both"/>
        <w:rPr/>
      </w:pPr>
      <w:hyperlink w:anchor="__RefHeading___Toc3437_1168995206">
        <w:r>
          <w:rPr>
            <w:rStyle w:val="Enlacedelndice"/>
            <w:lang w:val="ca-ES" w:bidi="ar-SA"/>
          </w:rPr>
          <w:t>Objectiu</w:t>
          <w:tab/>
          <w:t>4</w:t>
        </w:r>
      </w:hyperlink>
    </w:p>
    <w:p>
      <w:pPr>
        <w:pStyle w:val="Ndice1"/>
        <w:tabs>
          <w:tab w:val="right" w:pos="8504" w:leader="dot"/>
        </w:tabs>
        <w:jc w:val="both"/>
        <w:rPr/>
      </w:pPr>
      <w:hyperlink w:anchor="__RefHeading___Toc3439_1168995206">
        <w:r>
          <w:rPr>
            <w:rStyle w:val="Enlacedelndice"/>
            <w:lang w:val="ca-ES" w:bidi="ar-SA"/>
          </w:rPr>
          <w:t>Modalitat de Projectes</w:t>
          <w:tab/>
          <w:t>5</w:t>
        </w:r>
      </w:hyperlink>
    </w:p>
    <w:p>
      <w:pPr>
        <w:pStyle w:val="Ndice1"/>
        <w:tabs>
          <w:tab w:val="right" w:pos="8504" w:leader="dot"/>
        </w:tabs>
        <w:jc w:val="both"/>
        <w:rPr/>
      </w:pPr>
      <w:hyperlink w:anchor="__RefHeading___Toc3441_1168995206">
        <w:r>
          <w:rPr>
            <w:rStyle w:val="Enlacedelndice"/>
            <w:lang w:val="ca-ES" w:bidi="ar-SA"/>
          </w:rPr>
          <w:t>Procés de Selecció</w:t>
          <w:tab/>
          <w:t>6</w:t>
        </w:r>
      </w:hyperlink>
    </w:p>
    <w:p>
      <w:pPr>
        <w:pStyle w:val="Ndice1"/>
        <w:tabs>
          <w:tab w:val="right" w:pos="8504" w:leader="dot"/>
        </w:tabs>
        <w:jc w:val="both"/>
        <w:rPr/>
      </w:pPr>
      <w:hyperlink w:anchor="__RefHeading___Toc3443_1168995206">
        <w:r>
          <w:rPr>
            <w:rStyle w:val="Enlacedelndice"/>
            <w:lang w:val="ca-ES" w:bidi="ar-SA"/>
          </w:rPr>
          <w:t>Baremació de les propostes</w:t>
          <w:tab/>
          <w:t>7</w:t>
        </w:r>
      </w:hyperlink>
    </w:p>
    <w:p>
      <w:pPr>
        <w:pStyle w:val="Ndice1"/>
        <w:tabs>
          <w:tab w:val="right" w:pos="8504" w:leader="dot"/>
        </w:tabs>
        <w:jc w:val="both"/>
        <w:rPr/>
      </w:pPr>
      <w:hyperlink w:anchor="__RefHeading___Toc3445_1168995206">
        <w:r>
          <w:rPr>
            <w:rStyle w:val="Enlacedelndice"/>
            <w:lang w:val="ca-ES" w:bidi="ar-SA"/>
          </w:rPr>
          <w:t>Pressupost</w:t>
          <w:tab/>
          <w:t>7</w:t>
        </w:r>
      </w:hyperlink>
    </w:p>
    <w:p>
      <w:pPr>
        <w:pStyle w:val="Ndice1"/>
        <w:tabs>
          <w:tab w:val="right" w:pos="8504" w:leader="dot"/>
        </w:tabs>
        <w:jc w:val="both"/>
        <w:rPr/>
      </w:pPr>
      <w:hyperlink w:anchor="__RefHeading___Toc3447_1168995206">
        <w:r>
          <w:rPr>
            <w:rStyle w:val="Enlacedelndice"/>
            <w:lang w:val="ca-ES" w:bidi="ar-SA"/>
          </w:rPr>
          <w:t>Marc Jurídic</w:t>
          <w:tab/>
          <w:t>7</w:t>
        </w:r>
      </w:hyperlink>
      <w:r>
        <w:fldChar w:fldCharType="end"/>
      </w:r>
    </w:p>
    <w:p>
      <w:pPr>
        <w:pStyle w:val="Normal"/>
        <w:jc w:val="both"/>
        <w:rPr>
          <w:lang w:val="ca-ES" w:bidi="ar-SA"/>
        </w:rPr>
      </w:pPr>
      <w:r>
        <w:rPr>
          <w:lang w:val="ca-ES" w:bidi="ar-SA"/>
        </w:rPr>
      </w:r>
    </w:p>
    <w:p>
      <w:pPr>
        <w:pStyle w:val="Normal"/>
        <w:jc w:val="both"/>
        <w:rPr>
          <w:lang w:val="ca-ES" w:bidi="ar-SA"/>
        </w:rPr>
      </w:pPr>
      <w:r>
        <w:rPr>
          <w:lang w:val="ca-ES" w:bidi="ar-SA"/>
        </w:rPr>
      </w:r>
    </w:p>
    <w:p>
      <w:pPr>
        <w:pStyle w:val="Normal"/>
        <w:jc w:val="both"/>
        <w:rPr>
          <w:lang w:val="ca-ES" w:bidi="ar-SA"/>
        </w:rPr>
      </w:pPr>
      <w:r>
        <w:rPr>
          <w:lang w:val="ca-ES" w:bidi="ar-SA"/>
        </w:rPr>
      </w:r>
    </w:p>
    <w:p>
      <w:pPr>
        <w:pStyle w:val="Normal"/>
        <w:jc w:val="both"/>
        <w:rPr>
          <w:lang w:val="ca-ES" w:bidi="ar-SA"/>
        </w:rPr>
      </w:pPr>
      <w:r>
        <w:rPr>
          <w:lang w:val="ca-ES" w:bidi="ar-SA"/>
        </w:rPr>
      </w:r>
    </w:p>
    <w:p>
      <w:pPr>
        <w:pStyle w:val="Normal"/>
        <w:jc w:val="both"/>
        <w:rPr>
          <w:lang w:val="ca-ES" w:bidi="ar-SA"/>
        </w:rPr>
      </w:pPr>
      <w:r>
        <w:rPr>
          <w:lang w:val="ca-ES" w:bidi="ar-SA"/>
        </w:rPr>
      </w:r>
    </w:p>
    <w:p>
      <w:pPr>
        <w:pStyle w:val="Normal"/>
        <w:jc w:val="both"/>
        <w:rPr>
          <w:lang w:val="ca-ES" w:bidi="ar-SA"/>
        </w:rPr>
      </w:pPr>
      <w:r>
        <w:rPr>
          <w:lang w:val="ca-ES" w:bidi="ar-SA"/>
        </w:rPr>
      </w:r>
    </w:p>
    <w:p>
      <w:pPr>
        <w:pStyle w:val="Normal"/>
        <w:jc w:val="both"/>
        <w:rPr>
          <w:lang w:val="ca-ES" w:bidi="ar-SA"/>
        </w:rPr>
      </w:pPr>
      <w:r>
        <w:rPr>
          <w:lang w:val="ca-ES" w:bidi="ar-SA"/>
        </w:rPr>
      </w:r>
    </w:p>
    <w:p>
      <w:pPr>
        <w:pStyle w:val="Normal"/>
        <w:jc w:val="both"/>
        <w:rPr>
          <w:lang w:val="ca-ES" w:bidi="ar-SA"/>
        </w:rPr>
      </w:pPr>
      <w:r>
        <w:rPr>
          <w:lang w:val="ca-ES" w:bidi="ar-SA"/>
        </w:rPr>
      </w:r>
    </w:p>
    <w:p>
      <w:pPr>
        <w:pStyle w:val="Normal"/>
        <w:jc w:val="both"/>
        <w:rPr>
          <w:lang w:val="ca-ES" w:bidi="ar-SA"/>
        </w:rPr>
      </w:pPr>
      <w:r>
        <w:rPr>
          <w:lang w:val="ca-ES" w:bidi="ar-SA"/>
        </w:rPr>
      </w:r>
    </w:p>
    <w:p>
      <w:pPr>
        <w:pStyle w:val="Normal"/>
        <w:tabs>
          <w:tab w:val="left" w:pos="1860" w:leader="none"/>
        </w:tabs>
        <w:jc w:val="both"/>
        <w:rPr>
          <w:lang w:val="ca-ES" w:bidi="ar-SA"/>
        </w:rPr>
      </w:pPr>
      <w:r>
        <w:rPr>
          <w:lang w:val="ca-ES" w:bidi="ar-SA"/>
        </w:rPr>
        <w:tab/>
      </w:r>
    </w:p>
    <w:p>
      <w:pPr>
        <w:sectPr>
          <w:headerReference w:type="default" r:id="rId2"/>
          <w:footerReference w:type="default" r:id="rId3"/>
          <w:type w:val="nextPage"/>
          <w:pgSz w:w="11906" w:h="16838"/>
          <w:pgMar w:left="1701" w:right="1701" w:header="794" w:top="2551" w:footer="709" w:bottom="1418" w:gutter="0"/>
          <w:pgNumType w:fmt="decimal"/>
          <w:formProt w:val="false"/>
          <w:textDirection w:val="lrTb"/>
          <w:docGrid w:type="default" w:linePitch="360" w:charSpace="4294965247"/>
        </w:sectPr>
        <w:pStyle w:val="Normal"/>
        <w:tabs>
          <w:tab w:val="left" w:pos="1860" w:leader="none"/>
          <w:tab w:val="center" w:pos="4252" w:leader="none"/>
          <w:tab w:val="right" w:pos="8504" w:leader="none"/>
        </w:tabs>
        <w:jc w:val="both"/>
        <w:rPr>
          <w:lang w:val="ca-ES" w:bidi="ar-SA"/>
        </w:rPr>
      </w:pPr>
      <w:r>
        <w:rPr>
          <w:lang w:val="ca-ES" w:bidi="ar-SA"/>
        </w:rPr>
        <w:tab/>
      </w:r>
    </w:p>
    <w:p>
      <w:pPr>
        <w:pStyle w:val="Encabezado1"/>
        <w:jc w:val="both"/>
        <w:rPr>
          <w:lang w:val="ca-ES" w:bidi="ar-SA"/>
        </w:rPr>
      </w:pPr>
      <w:bookmarkStart w:id="0" w:name="__RefHeading___Toc3435_1168995206"/>
      <w:bookmarkStart w:id="1" w:name="_Toc425772240"/>
      <w:bookmarkStart w:id="2" w:name="_Toc454894411"/>
      <w:bookmarkStart w:id="3" w:name="_Toc425771876"/>
      <w:bookmarkEnd w:id="0"/>
      <w:bookmarkEnd w:id="1"/>
      <w:bookmarkEnd w:id="2"/>
      <w:bookmarkEnd w:id="3"/>
      <w:r>
        <w:rPr>
          <w:lang w:val="ca-ES" w:bidi="ar-SA"/>
        </w:rPr>
        <w:t>Context</w:t>
      </w:r>
    </w:p>
    <w:p>
      <w:pPr>
        <w:pStyle w:val="Annotationtext"/>
        <w:jc w:val="both"/>
        <w:rPr>
          <w:lang w:val="ca-ES" w:bidi="ar-SA"/>
        </w:rPr>
      </w:pPr>
      <w:r>
        <w:rPr>
          <w:lang w:val="ca-ES" w:bidi="ar-SA"/>
        </w:rPr>
      </w:r>
    </w:p>
    <w:p>
      <w:pPr>
        <w:pStyle w:val="Annotationtext"/>
        <w:jc w:val="both"/>
        <w:rPr/>
      </w:pPr>
      <w:r>
        <w:rPr>
          <w:sz w:val="22"/>
          <w:szCs w:val="22"/>
          <w:lang w:val="ca-ES" w:bidi="ar-SA"/>
        </w:rPr>
        <w:t xml:space="preserve">L'Ajuntament de València participa a través de Fundació InnDEA en el projecte </w:t>
      </w:r>
      <w:r>
        <w:rPr>
          <w:i/>
          <w:iCs/>
          <w:sz w:val="22"/>
          <w:szCs w:val="22"/>
          <w:lang w:val="ca-ES" w:bidi="ar-SA"/>
        </w:rPr>
        <w:t>Transition Cities</w:t>
      </w:r>
      <w:r>
        <w:rPr>
          <w:sz w:val="22"/>
          <w:szCs w:val="22"/>
          <w:lang w:val="ca-ES" w:bidi="ar-SA"/>
        </w:rPr>
        <w:t xml:space="preserve"> impulsat per Climate-KIC, que està recolzat per la pròpia Unió Europea a través de l'EIT (Institut Europeu d'Innovació i Tecnologia).</w:t>
      </w:r>
    </w:p>
    <w:p>
      <w:pPr>
        <w:pStyle w:val="Annotationtext"/>
        <w:jc w:val="both"/>
        <w:rPr/>
      </w:pPr>
      <w:r>
        <w:rPr>
          <w:sz w:val="22"/>
          <w:szCs w:val="22"/>
          <w:lang w:val="ca-ES" w:bidi="ar-SA"/>
        </w:rPr>
        <w:t>Després de l'èxit del primer Concurs d'Idees “</w:t>
      </w:r>
      <w:r>
        <w:rPr>
          <w:i/>
          <w:iCs/>
          <w:sz w:val="22"/>
          <w:szCs w:val="22"/>
          <w:lang w:val="ca-ES" w:bidi="ar-SA"/>
        </w:rPr>
        <w:t>Transition Cities 201</w:t>
      </w:r>
      <w:r>
        <w:rPr>
          <w:sz w:val="22"/>
          <w:szCs w:val="22"/>
          <w:lang w:val="ca-ES" w:bidi="ar-SA"/>
        </w:rPr>
        <w:t xml:space="preserve">6” convocat al juliol de 2016, es torna a convocar un segon curs d'idees de forma simplificada i orientat exclusivament a idees relacionades amb el tema de la transició energètica. Aquesta segona edició aprofita la disponibilitat de fons del projecte </w:t>
      </w:r>
      <w:r>
        <w:rPr>
          <w:i/>
          <w:iCs/>
          <w:sz w:val="22"/>
          <w:szCs w:val="22"/>
          <w:lang w:val="ca-ES" w:bidi="ar-SA"/>
        </w:rPr>
        <w:t>Transition Cities</w:t>
      </w:r>
      <w:r>
        <w:rPr>
          <w:sz w:val="22"/>
          <w:szCs w:val="22"/>
          <w:lang w:val="ca-ES" w:bidi="ar-SA"/>
        </w:rPr>
        <w:t xml:space="preserve"> que no havien sigut utilitzats fins ara per a fomentar el desenvolupament de noves propostes o donar una altra oportunitat a propostes ja presentades en la versió anterior.</w:t>
      </w:r>
    </w:p>
    <w:p>
      <w:pPr>
        <w:pStyle w:val="Annotationtext"/>
        <w:jc w:val="both"/>
        <w:rPr/>
      </w:pPr>
      <w:r>
        <w:rPr>
          <w:sz w:val="22"/>
          <w:szCs w:val="22"/>
          <w:lang w:val="ca-ES" w:bidi="ar-SA"/>
        </w:rPr>
        <w:t xml:space="preserve">En 2009, la ciutat de València s'ha subscrit al Pacte dels Alcaldes per al clima i l'energia pel que està compromesa a </w:t>
      </w:r>
      <w:r>
        <w:rPr>
          <w:b/>
          <w:bCs/>
          <w:sz w:val="22"/>
          <w:szCs w:val="22"/>
          <w:lang w:val="ca-ES" w:bidi="ar-SA"/>
        </w:rPr>
        <w:t>superar els objectius de la UE referents a la reducció d'emissions de CO2</w:t>
      </w:r>
      <w:r>
        <w:rPr>
          <w:sz w:val="22"/>
          <w:szCs w:val="22"/>
          <w:lang w:val="ca-ES" w:bidi="ar-SA"/>
        </w:rPr>
        <w:t xml:space="preserve">. Concretament, tots els signants del Pacte es proposen reduir les emissions de CO2 en més d'un 20 % per a l'any 2020 mitjançant una sèrie de mesures de reducció del consum energètic, de desenvolupament de les energies renovables i de millora de l'eficiència energètica. Entre els compromisos adquirits es troba el del disseny i implementació d'un Pla específic que, en el cas de València es tradueix en el </w:t>
      </w:r>
      <w:r>
        <w:rPr>
          <w:b/>
          <w:bCs/>
          <w:sz w:val="22"/>
          <w:szCs w:val="22"/>
          <w:lang w:val="ca-ES" w:bidi="ar-SA"/>
        </w:rPr>
        <w:t>Pla d'Acció per a l'Energia Sostenible 2011-2020</w:t>
      </w:r>
      <w:r>
        <w:rPr>
          <w:sz w:val="22"/>
          <w:szCs w:val="22"/>
          <w:lang w:val="ca-ES" w:bidi="ar-SA"/>
        </w:rPr>
        <w:t>. Aquest pla, persegueix aconseguir un canvi en els hàbits de consum energètic, convertir a l'administració en eix tractor de mesures exemplaritzants apostant per aconseguir estalvis energètics i d'emissions de Gasos Efecte Hivernacle en les instal·lacions i serveis que presta l'Ajuntament i fomentar l'ús d'energies alternatives i noves tecnologies, fomentar la cooperació i col·laboració entre els diferents organismes públics, aconseguir una participació social contínua i prevenir a la ciutat de València davant les conseqüències que es deriven del canvi climàtic.</w:t>
      </w:r>
    </w:p>
    <w:p>
      <w:pPr>
        <w:pStyle w:val="Annotationtext"/>
        <w:jc w:val="both"/>
        <w:rPr/>
      </w:pPr>
      <w:r>
        <w:rPr>
          <w:sz w:val="22"/>
          <w:szCs w:val="22"/>
          <w:lang w:val="ca-ES" w:bidi="ar-SA"/>
        </w:rPr>
        <w:t xml:space="preserve">Per aconseguir aquests objectius, el projecte </w:t>
      </w:r>
      <w:r>
        <w:rPr>
          <w:i/>
          <w:iCs/>
          <w:sz w:val="22"/>
          <w:szCs w:val="22"/>
          <w:lang w:val="ca-ES" w:bidi="ar-SA"/>
        </w:rPr>
        <w:t>Transition Cities</w:t>
      </w:r>
      <w:r>
        <w:rPr>
          <w:sz w:val="22"/>
          <w:szCs w:val="22"/>
          <w:lang w:val="ca-ES" w:bidi="ar-SA"/>
        </w:rPr>
        <w:t xml:space="preserve"> parteix de la constatació que existeixen una multitud de projectes urbans innovadors relacionats amb la reducció d'emissions de carboni que no passen de ser iniciatives aïllades a causa de la seua falta de coherència estratègica i a la seua manca de perspectives de ser realment implementades en un entorn real, per la qual cosa l'impacte en la qualitat de vida de la ciutadania és mínim.</w:t>
      </w:r>
    </w:p>
    <w:p>
      <w:pPr>
        <w:pStyle w:val="Annotationtext"/>
        <w:jc w:val="both"/>
        <w:rPr/>
      </w:pPr>
      <w:r>
        <w:rPr>
          <w:sz w:val="22"/>
          <w:szCs w:val="22"/>
          <w:lang w:val="ca-ES" w:bidi="ar-SA"/>
        </w:rPr>
        <w:t xml:space="preserve">València, al costat de Birmingham, Bolonya, Mòdena, Budapest, Castelló, Frankfurt i Breslàvia, forma part del grup </w:t>
      </w:r>
      <w:r>
        <w:rPr>
          <w:i/>
          <w:iCs/>
          <w:sz w:val="22"/>
          <w:szCs w:val="22"/>
          <w:lang w:val="ca-ES" w:bidi="ar-SA"/>
        </w:rPr>
        <w:t>Transition Cities</w:t>
      </w:r>
      <w:r>
        <w:rPr>
          <w:sz w:val="22"/>
          <w:szCs w:val="22"/>
          <w:lang w:val="ca-ES" w:bidi="ar-SA"/>
        </w:rPr>
        <w:t xml:space="preserve"> dins de la iniciativa Climate KIC, el qual ha desenvolupat un conjunt de desafiaments amb l'objectiu de cobrir la bretxa que existeix entre les grans aspiracions polítiques, com el Pacte dels Alcaldes per a l'Energia i el Clima, i les iniciatives voluntàries aïllades.</w:t>
      </w:r>
    </w:p>
    <w:p>
      <w:pPr>
        <w:pStyle w:val="Annotationtext"/>
        <w:jc w:val="both"/>
        <w:rPr>
          <w:sz w:val="22"/>
          <w:szCs w:val="22"/>
          <w:lang w:val="ca-ES" w:bidi="ar-SA"/>
        </w:rPr>
      </w:pPr>
      <w:r>
        <w:rPr>
          <w:sz w:val="22"/>
          <w:szCs w:val="22"/>
          <w:lang w:val="ca-ES" w:bidi="ar-SA"/>
        </w:rPr>
        <w:t>Gràcies al treball realitzat en aquest projecte s'identifica en la ciutat de València el sector energètic com un dels quals presenten menys cohesió entre objectius socials i interessos privats.</w:t>
      </w:r>
    </w:p>
    <w:p>
      <w:pPr>
        <w:pStyle w:val="Annotationtext"/>
        <w:jc w:val="both"/>
        <w:rPr/>
      </w:pPr>
      <w:r>
        <w:rPr>
          <w:sz w:val="22"/>
          <w:szCs w:val="22"/>
          <w:lang w:val="ca-ES" w:bidi="ar-SA"/>
        </w:rPr>
        <w:t xml:space="preserve">Al mateix temps, el projecte </w:t>
      </w:r>
      <w:r>
        <w:rPr>
          <w:i/>
          <w:iCs/>
          <w:sz w:val="22"/>
          <w:szCs w:val="22"/>
          <w:lang w:val="ca-ES" w:bidi="ar-SA"/>
        </w:rPr>
        <w:t xml:space="preserve">Transition Cities </w:t>
      </w:r>
      <w:r>
        <w:rPr>
          <w:sz w:val="22"/>
          <w:szCs w:val="22"/>
          <w:lang w:val="ca-ES" w:bidi="ar-SA"/>
        </w:rPr>
        <w:t xml:space="preserve">s'emmarca en l'estratègia </w:t>
      </w:r>
      <w:r>
        <w:rPr>
          <w:i/>
          <w:iCs/>
          <w:sz w:val="22"/>
          <w:szCs w:val="22"/>
          <w:lang w:val="ca-ES" w:bidi="ar-SA"/>
        </w:rPr>
        <w:t xml:space="preserve">Smart City </w:t>
      </w:r>
      <w:r>
        <w:rPr>
          <w:sz w:val="22"/>
          <w:szCs w:val="22"/>
          <w:lang w:val="ca-ES" w:bidi="ar-SA"/>
        </w:rPr>
        <w:t>de València la qual cerca posar la tecnologia al servei dels reptes urbans per a generar un impacte directe en el benestar de la població i en el canvi mediambiental, de manera que la ciutat es convertisca en una plataforma d'innovació basada en les últimes tecnologies per a afrontar els reptes socials.</w:t>
      </w:r>
    </w:p>
    <w:p>
      <w:pPr>
        <w:pStyle w:val="Encabezado1"/>
        <w:jc w:val="both"/>
        <w:rPr>
          <w:rFonts w:eastAsia="ＭＳ ゴシック"/>
          <w:b/>
          <w:b/>
          <w:bCs/>
          <w:color w:val="365F91"/>
          <w:sz w:val="28"/>
          <w:szCs w:val="28"/>
          <w:lang w:val="ca-ES" w:eastAsia="en-US" w:bidi="ar-SA"/>
        </w:rPr>
      </w:pPr>
      <w:bookmarkStart w:id="4" w:name="__RefHeading___Toc3437_1168995206"/>
      <w:bookmarkStart w:id="5" w:name="_Toc425772241"/>
      <w:bookmarkStart w:id="6" w:name="_Toc454894412"/>
      <w:bookmarkStart w:id="7" w:name="_Toc425771877"/>
      <w:bookmarkEnd w:id="4"/>
      <w:bookmarkEnd w:id="5"/>
      <w:bookmarkEnd w:id="6"/>
      <w:bookmarkEnd w:id="7"/>
      <w:r>
        <w:rPr>
          <w:rFonts w:eastAsia="ＭＳ ゴシック"/>
          <w:b/>
          <w:bCs/>
          <w:color w:val="365F91"/>
          <w:sz w:val="28"/>
          <w:szCs w:val="28"/>
          <w:lang w:val="ca-ES" w:eastAsia="en-US" w:bidi="ar-SA"/>
        </w:rPr>
        <w:t>Objectiu</w:t>
      </w:r>
    </w:p>
    <w:p>
      <w:pPr>
        <w:pStyle w:val="Normal"/>
        <w:jc w:val="both"/>
        <w:rPr>
          <w:lang w:val="ca-ES" w:bidi="ar-SA"/>
        </w:rPr>
      </w:pPr>
      <w:r>
        <w:rPr>
          <w:lang w:val="ca-ES" w:bidi="ar-SA"/>
        </w:rPr>
        <w:t>L'objectiu de la proposta “Concurs d'Idees Energy Transition Cities 2016” és llançar un procés de selecció de projectes innovadors relacionats amb la reducció del consum energètic, l'eficiència energètica i la reducció d'emissions de gasos d'efecte hivernacle a l'atmosfera i que continga un enfocament social, amb aplicació en la ciutat de València. Per açò es proposa a les persones participants els reptes següents, relacionats amb la transició energètica:</w:t>
      </w:r>
    </w:p>
    <w:p>
      <w:pPr>
        <w:pStyle w:val="ListParagraph"/>
        <w:numPr>
          <w:ilvl w:val="0"/>
          <w:numId w:val="5"/>
        </w:numPr>
        <w:ind w:start="720" w:end="0" w:hanging="360"/>
        <w:jc w:val="both"/>
        <w:rPr/>
      </w:pPr>
      <w:r>
        <w:rPr>
          <w:b/>
          <w:bCs/>
          <w:lang w:val="ca-ES" w:bidi="ar-SA"/>
        </w:rPr>
        <w:t>Gestió integral i eficient de l'energia</w:t>
      </w:r>
      <w:r>
        <w:rPr>
          <w:lang w:val="ca-ES" w:bidi="ar-SA"/>
        </w:rPr>
        <w:t xml:space="preserve">: València és la tercera ciutat d'Espanya que més energia consumeix, sent l'energia elèctrica la que suporta gran part de la demanda. L'efectivitat en la gestió d'aquest consum és un tema crucial per a l'èxit en la lluita contra el canvi climàtic. Els projectes presentats sota aquest repte han de proposar innovacions en solucions integrals que cobrisquen totes les necessitats en gestió d'energia des d'un punt de vista mediambiental, però també tècnic i organitzatiu, responent a l'objectiu de </w:t>
      </w:r>
      <w:r>
        <w:rPr>
          <w:b/>
          <w:bCs/>
          <w:lang w:val="ca-ES" w:bidi="ar-SA"/>
        </w:rPr>
        <w:t>reduir emissions de CO2 i augmentar l'eficiència energètica en les organitzacions participants (empreses, associacions, etc).</w:t>
      </w:r>
      <w:r>
        <w:rPr>
          <w:lang w:val="ca-ES" w:bidi="ar-SA"/>
        </w:rPr>
        <w:t xml:space="preserve"> Possibles àrees d'actuació</w:t>
      </w:r>
      <w:r>
        <w:rPr>
          <w:b/>
          <w:bCs/>
          <w:lang w:val="ca-ES" w:bidi="ar-SA"/>
        </w:rPr>
        <w:t>:</w:t>
      </w:r>
    </w:p>
    <w:p>
      <w:pPr>
        <w:pStyle w:val="ListParagraph"/>
        <w:numPr>
          <w:ilvl w:val="0"/>
          <w:numId w:val="6"/>
        </w:numPr>
        <w:spacing w:lineRule="auto" w:line="276"/>
        <w:jc w:val="both"/>
        <w:rPr>
          <w:lang w:val="ca-ES" w:bidi="ar-SA"/>
        </w:rPr>
      </w:pPr>
      <w:r>
        <w:rPr>
          <w:lang w:val="ca-ES" w:bidi="ar-SA"/>
        </w:rPr>
        <w:t>Anàlisi dels consums de les instal·lacions públiques</w:t>
      </w:r>
    </w:p>
    <w:p>
      <w:pPr>
        <w:pStyle w:val="ListParagraph"/>
        <w:numPr>
          <w:ilvl w:val="0"/>
          <w:numId w:val="6"/>
        </w:numPr>
        <w:spacing w:lineRule="auto" w:line="276"/>
        <w:jc w:val="both"/>
        <w:rPr>
          <w:lang w:val="ca-ES" w:bidi="ar-SA"/>
        </w:rPr>
      </w:pPr>
      <w:r>
        <w:rPr>
          <w:lang w:val="ca-ES" w:bidi="ar-SA"/>
        </w:rPr>
        <w:t>Sistemes integrals de gestió energètica a nivell de districte.</w:t>
      </w:r>
    </w:p>
    <w:p>
      <w:pPr>
        <w:pStyle w:val="ListParagraph"/>
        <w:numPr>
          <w:ilvl w:val="0"/>
          <w:numId w:val="6"/>
        </w:numPr>
        <w:spacing w:lineRule="auto" w:line="276"/>
        <w:jc w:val="both"/>
        <w:rPr>
          <w:lang w:val="ca-ES" w:bidi="ar-SA"/>
        </w:rPr>
      </w:pPr>
      <w:r>
        <w:rPr>
          <w:lang w:val="ca-ES" w:bidi="ar-SA"/>
        </w:rPr>
        <w:t>Noves eines de monitorització de consum a nivell d'usuari.</w:t>
      </w:r>
    </w:p>
    <w:p>
      <w:pPr>
        <w:pStyle w:val="ListParagraph"/>
        <w:numPr>
          <w:ilvl w:val="0"/>
          <w:numId w:val="6"/>
        </w:numPr>
        <w:spacing w:lineRule="auto" w:line="276"/>
        <w:jc w:val="both"/>
        <w:rPr>
          <w:lang w:val="ca-ES" w:bidi="ar-SA"/>
        </w:rPr>
      </w:pPr>
      <w:r>
        <w:rPr>
          <w:lang w:val="ca-ES" w:bidi="ar-SA"/>
        </w:rPr>
        <w:t>Compra pública innovadora</w:t>
      </w:r>
    </w:p>
    <w:p>
      <w:pPr>
        <w:pStyle w:val="ListParagraph"/>
        <w:spacing w:lineRule="auto" w:line="276"/>
        <w:ind w:start="1800" w:end="0" w:hanging="0"/>
        <w:jc w:val="both"/>
        <w:rPr>
          <w:lang w:val="ca-ES" w:bidi="ar-SA"/>
        </w:rPr>
      </w:pPr>
      <w:r>
        <w:rPr>
          <w:lang w:val="ca-ES" w:bidi="ar-SA"/>
        </w:rPr>
      </w:r>
    </w:p>
    <w:p>
      <w:pPr>
        <w:pStyle w:val="ListParagraph"/>
        <w:widowControl/>
        <w:numPr>
          <w:ilvl w:val="0"/>
          <w:numId w:val="5"/>
        </w:numPr>
        <w:bidi w:val="0"/>
        <w:spacing w:before="120" w:after="120"/>
        <w:ind w:start="720" w:end="0" w:hanging="360"/>
        <w:contextualSpacing/>
        <w:jc w:val="both"/>
        <w:rPr/>
      </w:pPr>
      <w:r>
        <w:rPr>
          <w:b/>
          <w:bCs/>
          <w:lang w:val="ca-ES" w:bidi="ar-SA"/>
        </w:rPr>
        <w:t>Ús innovador i replicable de les energies renovables</w:t>
      </w:r>
      <w:r>
        <w:rPr>
          <w:lang w:val="ca-ES" w:bidi="ar-SA"/>
        </w:rPr>
        <w:t xml:space="preserve">: València té la voluntat de ser un laboratori urbà de la transició energètica, recolzant als diversos actors de la ciutat (empreses, associacions, centres d'investigació, etc) en el seu camí cap a la transició energètica. Per a impulsar iniciatives encaminades a la innovació en l'ús d'energies netes i alternatives, i fer un pas més cap a aquesta transició energètica en la ciutat de València, es requereix el desenvolupament de projectes pilots innovadors per a </w:t>
      </w:r>
      <w:r>
        <w:rPr>
          <w:b/>
          <w:bCs/>
          <w:lang w:val="ca-ES" w:bidi="ar-SA"/>
        </w:rPr>
        <w:t>implementar tecnologies ja desenvolupades però que encara no s'han provat en el context específic de la ciutat de València amb l'objectiu de reduir les emissions de CO2</w:t>
      </w:r>
      <w:r>
        <w:rPr>
          <w:lang w:val="ca-ES" w:bidi="ar-SA"/>
        </w:rPr>
        <w:t>. Possibles àrees d'actuació</w:t>
      </w:r>
      <w:r>
        <w:rPr>
          <w:b w:val="false"/>
          <w:bCs w:val="false"/>
          <w:sz w:val="22"/>
          <w:szCs w:val="22"/>
          <w:lang w:val="ca-ES" w:bidi="ar-SA"/>
        </w:rPr>
        <w:t>:</w:t>
      </w:r>
    </w:p>
    <w:p>
      <w:pPr>
        <w:pStyle w:val="ListParagraph"/>
        <w:widowControl/>
        <w:numPr>
          <w:ilvl w:val="0"/>
          <w:numId w:val="12"/>
        </w:numPr>
        <w:bidi w:val="0"/>
        <w:spacing w:before="120" w:after="120"/>
        <w:contextualSpacing/>
        <w:jc w:val="both"/>
        <w:rPr>
          <w:lang w:val="ca-ES" w:bidi="ar-SA"/>
        </w:rPr>
      </w:pPr>
      <w:r>
        <w:rPr>
          <w:lang w:val="ca-ES" w:bidi="ar-SA"/>
        </w:rPr>
        <w:t>Estalvi energètic</w:t>
      </w:r>
    </w:p>
    <w:p>
      <w:pPr>
        <w:pStyle w:val="ListParagraph"/>
        <w:widowControl/>
        <w:numPr>
          <w:ilvl w:val="0"/>
          <w:numId w:val="12"/>
        </w:numPr>
        <w:bidi w:val="0"/>
        <w:spacing w:before="120" w:after="120"/>
        <w:contextualSpacing/>
        <w:jc w:val="both"/>
        <w:rPr>
          <w:lang w:val="ca-ES" w:bidi="ar-SA"/>
        </w:rPr>
      </w:pPr>
      <w:r>
        <w:rPr>
          <w:lang w:val="ca-ES" w:bidi="ar-SA"/>
        </w:rPr>
        <w:t>Innovació en la mobilitat sostenible</w:t>
      </w:r>
    </w:p>
    <w:p>
      <w:pPr>
        <w:pStyle w:val="ListParagraph"/>
        <w:widowControl/>
        <w:numPr>
          <w:ilvl w:val="0"/>
          <w:numId w:val="12"/>
        </w:numPr>
        <w:bidi w:val="0"/>
        <w:spacing w:before="120" w:after="120"/>
        <w:contextualSpacing/>
        <w:jc w:val="both"/>
        <w:rPr>
          <w:lang w:val="ca-ES" w:bidi="ar-SA"/>
        </w:rPr>
      </w:pPr>
      <w:r>
        <w:rPr>
          <w:lang w:val="ca-ES" w:bidi="ar-SA"/>
        </w:rPr>
        <w:t>Substitució del consum d'energia fòssils per renovables</w:t>
      </w:r>
    </w:p>
    <w:p>
      <w:pPr>
        <w:pStyle w:val="ListParagraph"/>
        <w:widowControl/>
        <w:numPr>
          <w:ilvl w:val="0"/>
          <w:numId w:val="12"/>
        </w:numPr>
        <w:bidi w:val="0"/>
        <w:spacing w:before="120" w:after="120"/>
        <w:contextualSpacing/>
        <w:jc w:val="both"/>
        <w:rPr>
          <w:b w:val="false"/>
          <w:b w:val="false"/>
          <w:bCs w:val="false"/>
          <w:sz w:val="22"/>
          <w:szCs w:val="22"/>
          <w:lang w:val="ca-ES" w:bidi="ar-SA"/>
        </w:rPr>
      </w:pPr>
      <w:r>
        <w:rPr>
          <w:b w:val="false"/>
          <w:bCs w:val="false"/>
          <w:sz w:val="22"/>
          <w:szCs w:val="22"/>
          <w:lang w:val="ca-ES" w:bidi="ar-SA"/>
        </w:rPr>
        <w:t>Binomi aigua-energia</w:t>
      </w:r>
    </w:p>
    <w:p>
      <w:pPr>
        <w:pStyle w:val="ListParagraph"/>
        <w:widowControl/>
        <w:bidi w:val="0"/>
        <w:spacing w:before="120" w:after="120"/>
        <w:ind w:start="720" w:end="0" w:hanging="0"/>
        <w:contextualSpacing/>
        <w:jc w:val="both"/>
        <w:rPr>
          <w:lang w:val="ca-ES" w:bidi="ar-SA"/>
        </w:rPr>
      </w:pPr>
      <w:r>
        <w:rPr>
          <w:lang w:val="ca-ES" w:bidi="ar-SA"/>
        </w:rPr>
      </w:r>
    </w:p>
    <w:p>
      <w:pPr>
        <w:pStyle w:val="ListParagraph"/>
        <w:numPr>
          <w:ilvl w:val="0"/>
          <w:numId w:val="5"/>
        </w:numPr>
        <w:ind w:start="720" w:end="0" w:hanging="360"/>
        <w:jc w:val="both"/>
        <w:rPr/>
      </w:pPr>
      <w:r>
        <w:rPr>
          <w:b/>
          <w:bCs/>
          <w:lang w:val="ca-ES" w:bidi="ar-SA"/>
        </w:rPr>
        <w:t>Pobresa energètica</w:t>
      </w:r>
      <w:r>
        <w:rPr>
          <w:lang w:val="ca-ES" w:bidi="ar-SA"/>
        </w:rPr>
        <w:t>: Definida com la incapacitat d'una llar de satisfer una quantitat mínima de serveis de l'energia per a les seues necessitats bàsiques, la pobresa energètica afecta cada vegada a més llars en la ciutat de València on, segons dades de la Creu Roja, existeixen més de 800 llars ateses per aquest motiu. Possibles àrees d'actuació:</w:t>
      </w:r>
    </w:p>
    <w:p>
      <w:pPr>
        <w:pStyle w:val="ListParagraph"/>
        <w:numPr>
          <w:ilvl w:val="0"/>
          <w:numId w:val="7"/>
        </w:numPr>
        <w:spacing w:lineRule="auto" w:line="276"/>
        <w:jc w:val="both"/>
        <w:rPr>
          <w:lang w:val="ca-ES" w:bidi="ar-SA"/>
        </w:rPr>
      </w:pPr>
      <w:r>
        <w:rPr>
          <w:lang w:val="ca-ES" w:bidi="ar-SA"/>
        </w:rPr>
        <w:t>Serveis d'assessorament energètic a la població</w:t>
      </w:r>
    </w:p>
    <w:p>
      <w:pPr>
        <w:pStyle w:val="ListParagraph"/>
        <w:numPr>
          <w:ilvl w:val="0"/>
          <w:numId w:val="7"/>
        </w:numPr>
        <w:spacing w:lineRule="auto" w:line="276"/>
        <w:jc w:val="both"/>
        <w:rPr>
          <w:lang w:val="ca-ES" w:bidi="ar-SA"/>
        </w:rPr>
      </w:pPr>
      <w:r>
        <w:rPr>
          <w:lang w:val="ca-ES" w:bidi="ar-SA"/>
        </w:rPr>
        <w:t>Sistemes d'auditoria de factures energètiques</w:t>
      </w:r>
    </w:p>
    <w:p>
      <w:pPr>
        <w:pStyle w:val="ListParagraph"/>
        <w:numPr>
          <w:ilvl w:val="0"/>
          <w:numId w:val="7"/>
        </w:numPr>
        <w:spacing w:lineRule="auto" w:line="276"/>
        <w:jc w:val="both"/>
        <w:rPr>
          <w:lang w:val="ca-ES" w:bidi="ar-SA"/>
        </w:rPr>
      </w:pPr>
      <w:r>
        <w:rPr>
          <w:lang w:val="ca-ES" w:bidi="ar-SA"/>
        </w:rPr>
        <w:t>Formació en qüestions energètiques a personal tècnic de Serveis Socials</w:t>
      </w:r>
    </w:p>
    <w:p>
      <w:pPr>
        <w:pStyle w:val="ListParagraph"/>
        <w:numPr>
          <w:ilvl w:val="0"/>
          <w:numId w:val="7"/>
        </w:numPr>
        <w:spacing w:lineRule="auto" w:line="276"/>
        <w:jc w:val="both"/>
        <w:rPr>
          <w:lang w:val="ca-ES" w:bidi="ar-SA"/>
        </w:rPr>
      </w:pPr>
      <w:r>
        <w:rPr>
          <w:lang w:val="ca-ES" w:bidi="ar-SA"/>
        </w:rPr>
        <w:t>Noves metodologies i protocols d'actuació</w:t>
      </w:r>
    </w:p>
    <w:p>
      <w:pPr>
        <w:pStyle w:val="ListParagraph"/>
        <w:numPr>
          <w:ilvl w:val="0"/>
          <w:numId w:val="7"/>
        </w:numPr>
        <w:spacing w:lineRule="auto" w:line="276"/>
        <w:jc w:val="both"/>
        <w:rPr>
          <w:lang w:val="ca-ES" w:bidi="ar-SA"/>
        </w:rPr>
      </w:pPr>
      <w:r>
        <w:rPr>
          <w:lang w:val="ca-ES" w:bidi="ar-SA"/>
        </w:rPr>
        <w:t>Sistemes d'autoabastiment en llars vulnerables</w:t>
      </w:r>
    </w:p>
    <w:p>
      <w:pPr>
        <w:pStyle w:val="ListParagraph"/>
        <w:numPr>
          <w:ilvl w:val="0"/>
          <w:numId w:val="7"/>
        </w:numPr>
        <w:spacing w:lineRule="auto" w:line="276"/>
        <w:jc w:val="both"/>
        <w:rPr>
          <w:lang w:val="ca-ES" w:bidi="ar-SA"/>
        </w:rPr>
      </w:pPr>
      <w:r>
        <w:rPr>
          <w:lang w:val="ca-ES" w:bidi="ar-SA"/>
        </w:rPr>
        <w:t>Gestió comunitària del subministrament energètic</w:t>
      </w:r>
    </w:p>
    <w:p>
      <w:pPr>
        <w:pStyle w:val="Encabezado1"/>
        <w:jc w:val="both"/>
        <w:rPr>
          <w:lang w:val="ca-ES" w:bidi="ar-SA"/>
        </w:rPr>
      </w:pPr>
      <w:bookmarkStart w:id="8" w:name="__RefHeading___Toc3439_1168995206"/>
      <w:bookmarkStart w:id="9" w:name="_Toc454894413"/>
      <w:bookmarkStart w:id="10" w:name="_Toc425772242"/>
      <w:bookmarkStart w:id="11" w:name="_Toc425771878"/>
      <w:bookmarkEnd w:id="8"/>
      <w:bookmarkEnd w:id="9"/>
      <w:bookmarkEnd w:id="10"/>
      <w:bookmarkEnd w:id="11"/>
      <w:r>
        <w:rPr>
          <w:lang w:val="ca-ES" w:bidi="ar-SA"/>
        </w:rPr>
        <w:t>Modalitat de Projectes</w:t>
      </w:r>
    </w:p>
    <w:p>
      <w:pPr>
        <w:pStyle w:val="Normal"/>
        <w:widowControl w:val="false"/>
        <w:jc w:val="both"/>
        <w:rPr>
          <w:lang w:val="ca-ES" w:bidi="ar-SA"/>
        </w:rPr>
      </w:pPr>
      <w:r>
        <w:rPr>
          <w:lang w:val="ca-ES" w:bidi="ar-SA"/>
        </w:rPr>
        <w:t>Els projectes presentats hauran de respondre a una d'aquestes dos categories:</w:t>
      </w:r>
    </w:p>
    <w:p>
      <w:pPr>
        <w:pStyle w:val="ListParagraph"/>
        <w:widowControl w:val="false"/>
        <w:numPr>
          <w:ilvl w:val="0"/>
          <w:numId w:val="1"/>
        </w:numPr>
        <w:jc w:val="both"/>
        <w:rPr>
          <w:lang w:val="ca-ES" w:bidi="ar-SA"/>
        </w:rPr>
      </w:pPr>
      <w:r>
        <w:rPr>
          <w:lang w:val="ca-ES" w:bidi="ar-SA"/>
        </w:rPr>
        <w:t>“</w:t>
      </w:r>
      <w:r>
        <w:rPr>
          <w:lang w:val="ca-ES" w:bidi="ar-SA"/>
        </w:rPr>
        <w:t>Experiment”: projectes que desenvolupen idees innovadores completament noves.</w:t>
      </w:r>
    </w:p>
    <w:p>
      <w:pPr>
        <w:pStyle w:val="ListParagraph"/>
        <w:widowControl w:val="false"/>
        <w:numPr>
          <w:ilvl w:val="0"/>
          <w:numId w:val="1"/>
        </w:numPr>
        <w:ind w:start="720" w:end="0" w:hanging="360"/>
        <w:jc w:val="both"/>
        <w:rPr/>
      </w:pPr>
      <w:bookmarkStart w:id="12" w:name="__DdeLink__3270_1168995206"/>
      <w:r>
        <w:rPr>
          <w:lang w:val="ca-ES" w:bidi="ar-SA"/>
        </w:rPr>
        <w:t>“</w:t>
      </w:r>
      <w:r>
        <w:rPr>
          <w:lang w:val="ca-ES" w:bidi="ar-SA"/>
        </w:rPr>
        <w:t>Service Innovation Grant”</w:t>
      </w:r>
      <w:bookmarkEnd w:id="12"/>
      <w:r>
        <w:rPr>
          <w:lang w:val="ca-ES" w:bidi="ar-SA"/>
        </w:rPr>
        <w:t xml:space="preserve"> (SIG): projectes que demostren l'aplicabilitat de la tecnologia ja existent a altres contexts, ja siguen: geogràfics, socials, econòmics, etc.</w:t>
      </w:r>
      <w:r>
        <w:rPr>
          <w:rFonts w:cs="Arial" w:ascii="Arial" w:hAnsi="Arial"/>
          <w:szCs w:val="24"/>
          <w:lang w:val="ca-ES" w:bidi="ar-SA"/>
        </w:rPr>
        <w:t xml:space="preserve"> </w:t>
      </w:r>
    </w:p>
    <w:p>
      <w:pPr>
        <w:pStyle w:val="Encabezado2"/>
        <w:jc w:val="both"/>
        <w:rPr>
          <w:lang w:val="ca-ES" w:bidi="ar-SA"/>
        </w:rPr>
      </w:pPr>
      <w:r>
        <w:rPr>
          <w:lang w:val="ca-ES" w:bidi="ar-SA"/>
        </w:rPr>
        <w:t>Tasques a realitzar</w:t>
      </w:r>
    </w:p>
    <w:p>
      <w:pPr>
        <w:pStyle w:val="Normal"/>
        <w:jc w:val="both"/>
        <w:rPr>
          <w:lang w:val="ca-ES" w:bidi="ar-SA"/>
        </w:rPr>
      </w:pPr>
      <w:r>
        <w:rPr>
          <w:lang w:val="ca-ES" w:bidi="ar-SA"/>
        </w:rPr>
        <w:t>L'entitat legal adjudicatària assumeix la responsabilitat de realitzar les següents tasques:</w:t>
      </w:r>
    </w:p>
    <w:p>
      <w:pPr>
        <w:pStyle w:val="ListParagraph"/>
        <w:numPr>
          <w:ilvl w:val="0"/>
          <w:numId w:val="2"/>
        </w:numPr>
        <w:jc w:val="both"/>
        <w:rPr>
          <w:lang w:val="ca-ES" w:bidi="ar-SA"/>
        </w:rPr>
      </w:pPr>
      <w:r>
        <w:rPr>
          <w:lang w:val="ca-ES" w:bidi="ar-SA"/>
        </w:rPr>
        <w:t>Assegurar que es compleix amb tota la regulació associada a l'activitat.</w:t>
      </w:r>
    </w:p>
    <w:p>
      <w:pPr>
        <w:pStyle w:val="ListParagraph"/>
        <w:numPr>
          <w:ilvl w:val="0"/>
          <w:numId w:val="2"/>
        </w:numPr>
        <w:ind w:start="720" w:end="0" w:hanging="360"/>
        <w:jc w:val="both"/>
        <w:rPr>
          <w:lang w:val="ca-ES" w:bidi="ar-SA"/>
        </w:rPr>
      </w:pPr>
      <w:r>
        <w:rPr>
          <w:lang w:val="ca-ES" w:bidi="ar-SA"/>
        </w:rPr>
        <w:t>Recopilar la informació necessària durant la realització del pilot de manera que es puga realitzar una avaluació dels resultats de forma quantitativa.</w:t>
      </w:r>
    </w:p>
    <w:p>
      <w:pPr>
        <w:pStyle w:val="ListParagraph"/>
        <w:numPr>
          <w:ilvl w:val="0"/>
          <w:numId w:val="2"/>
        </w:numPr>
        <w:ind w:start="720" w:end="0" w:hanging="360"/>
        <w:jc w:val="both"/>
        <w:rPr>
          <w:lang w:val="ca-ES" w:bidi="ar-SA"/>
        </w:rPr>
      </w:pPr>
      <w:r>
        <w:rPr>
          <w:lang w:val="ca-ES" w:bidi="ar-SA"/>
        </w:rPr>
        <w:t>Mantenir reunions per a fer seguiment dels resultats i l'avaluació del pilot amb la Fundació InnDEA.</w:t>
      </w:r>
    </w:p>
    <w:p>
      <w:pPr>
        <w:pStyle w:val="Encabezado2"/>
        <w:jc w:val="both"/>
        <w:rPr>
          <w:lang w:val="ca-ES" w:bidi="ar-SA"/>
        </w:rPr>
      </w:pPr>
      <w:r>
        <w:rPr>
          <w:lang w:val="ca-ES" w:bidi="ar-SA"/>
        </w:rPr>
        <w:t>Planificació d'activitats</w:t>
      </w:r>
    </w:p>
    <w:p>
      <w:pPr>
        <w:pStyle w:val="Normal"/>
        <w:jc w:val="both"/>
        <w:rPr>
          <w:lang w:val="ca-ES" w:bidi="ar-SA"/>
        </w:rPr>
      </w:pPr>
      <w:r>
        <w:rPr>
          <w:lang w:val="ca-ES" w:bidi="ar-SA"/>
        </w:rPr>
        <w:t>Les ofertes rebudes hauran d'incloure, per a la seua valoració, una planificació inicial de les activitats a desenvolupar dins del pilot. Aquesta planificació haurà de ser, en el moment de l'adjudicació, consensuada entre l'empresa adjudicatària i els responsables del projecte designats pel contractant.</w:t>
      </w:r>
    </w:p>
    <w:p>
      <w:pPr>
        <w:pStyle w:val="Normal"/>
        <w:jc w:val="both"/>
        <w:rPr>
          <w:lang w:val="ca-ES" w:bidi="ar-SA"/>
        </w:rPr>
      </w:pPr>
      <w:r>
        <w:rPr>
          <w:lang w:val="ca-ES" w:bidi="ar-SA"/>
        </w:rPr>
        <w:br/>
        <w:t>La durada total del contracte serà com a màxim de 6 mesos.</w:t>
      </w:r>
    </w:p>
    <w:p>
      <w:pPr>
        <w:pStyle w:val="Encabezado2"/>
        <w:jc w:val="both"/>
        <w:rPr>
          <w:lang w:val="ca-ES" w:bidi="ar-SA"/>
        </w:rPr>
      </w:pPr>
      <w:r>
        <w:rPr>
          <w:lang w:val="ca-ES" w:bidi="ar-SA"/>
        </w:rPr>
        <w:t>Fites i resultats/ entregables</w:t>
      </w:r>
    </w:p>
    <w:p>
      <w:pPr>
        <w:pStyle w:val="Normal"/>
        <w:jc w:val="both"/>
        <w:rPr>
          <w:lang w:val="ca-ES" w:bidi="ar-SA"/>
        </w:rPr>
      </w:pPr>
      <w:r>
        <w:rPr>
          <w:lang w:val="ca-ES" w:bidi="ar-SA"/>
        </w:rPr>
        <w:t>L'entitat legal adjudicatària reportarà periòdicament a l'equip de projecte de la Fundació InnDEA València, enviarà un informe de seguiment del pilot incloent els principals indicadors i resultats a final de Març de 2017 i un informe de resultats final en acabar el projecte (Juny 2017).</w:t>
      </w:r>
    </w:p>
    <w:p>
      <w:pPr>
        <w:pStyle w:val="Encabezado2"/>
        <w:jc w:val="both"/>
        <w:rPr/>
      </w:pPr>
      <w:r>
        <w:rPr>
          <w:rStyle w:val="Strong"/>
          <w:b/>
          <w:bCs/>
          <w:lang w:val="ca-ES" w:bidi="ar-SA"/>
        </w:rPr>
        <w:t>Criteris de Tria</w:t>
      </w:r>
    </w:p>
    <w:p>
      <w:pPr>
        <w:pStyle w:val="Normal"/>
        <w:spacing w:before="0" w:after="0"/>
        <w:jc w:val="both"/>
        <w:rPr>
          <w:lang w:val="ca-ES" w:bidi="ar-SA"/>
        </w:rPr>
      </w:pPr>
      <w:r>
        <w:rPr>
          <w:lang w:val="ca-ES" w:bidi="ar-SA"/>
        </w:rPr>
        <w:t>Per a poder participar en aquesta convocatòria les persones sol·licitants hauran de complir amb els següents requisits:</w:t>
      </w:r>
    </w:p>
    <w:p>
      <w:pPr>
        <w:pStyle w:val="Normal"/>
        <w:spacing w:before="0" w:after="0"/>
        <w:jc w:val="both"/>
        <w:rPr>
          <w:lang w:val="ca-ES" w:bidi="ar-SA"/>
        </w:rPr>
      </w:pPr>
      <w:r>
        <w:rPr>
          <w:lang w:val="ca-ES" w:bidi="ar-SA"/>
        </w:rPr>
      </w:r>
    </w:p>
    <w:p>
      <w:pPr>
        <w:pStyle w:val="Normal"/>
        <w:spacing w:before="0" w:after="0"/>
        <w:jc w:val="both"/>
        <w:rPr>
          <w:lang w:val="ca-ES" w:bidi="ar-SA"/>
        </w:rPr>
      </w:pPr>
      <w:r>
        <w:rPr>
          <w:lang w:val="ca-ES" w:bidi="ar-SA"/>
        </w:rPr>
        <w:t>1. Estar legalment constituït i donat d'alta bé com a persona física o comunitat de béns, bé com a entitat mercantil amb personalitat jurídica (incloses les especials).</w:t>
      </w:r>
    </w:p>
    <w:p>
      <w:pPr>
        <w:pStyle w:val="Normal"/>
        <w:spacing w:before="0" w:after="0"/>
        <w:jc w:val="both"/>
        <w:rPr>
          <w:lang w:val="ca-ES" w:bidi="ar-SA"/>
        </w:rPr>
      </w:pPr>
      <w:r>
        <w:rPr>
          <w:lang w:val="ca-ES" w:bidi="ar-SA"/>
        </w:rPr>
      </w:r>
    </w:p>
    <w:p>
      <w:pPr>
        <w:pStyle w:val="Normal"/>
        <w:spacing w:before="0" w:after="0"/>
        <w:jc w:val="both"/>
        <w:rPr>
          <w:lang w:val="ca-ES" w:bidi="ar-SA"/>
        </w:rPr>
      </w:pPr>
      <w:r>
        <w:rPr>
          <w:lang w:val="ca-ES" w:bidi="ar-SA"/>
        </w:rPr>
        <w:t>2. Haver iniciat les seues activitats amb anterioritat a la publicació d'aquestes bases.</w:t>
      </w:r>
    </w:p>
    <w:p>
      <w:pPr>
        <w:pStyle w:val="Encabezado1"/>
        <w:jc w:val="both"/>
        <w:rPr/>
      </w:pPr>
      <w:bookmarkStart w:id="13" w:name="__RefHeading___Toc3441_1168995206"/>
      <w:bookmarkEnd w:id="13"/>
      <w:r>
        <w:rPr>
          <w:rFonts w:eastAsia="ＭＳ ゴシック"/>
          <w:b/>
          <w:bCs/>
          <w:color w:val="365F91"/>
          <w:sz w:val="28"/>
          <w:szCs w:val="28"/>
          <w:lang w:val="ca-ES" w:bidi="ar-SA"/>
        </w:rPr>
        <w:t>P</w:t>
      </w:r>
      <w:bookmarkStart w:id="14" w:name="_Toc425772243"/>
      <w:bookmarkStart w:id="15" w:name="_Toc454894414"/>
      <w:bookmarkStart w:id="16" w:name="_Toc425771879"/>
      <w:bookmarkEnd w:id="14"/>
      <w:bookmarkEnd w:id="15"/>
      <w:bookmarkEnd w:id="16"/>
      <w:r>
        <w:rPr>
          <w:lang w:val="ca-ES" w:bidi="ar-SA"/>
        </w:rPr>
        <w:t>rocés de Selecció</w:t>
      </w:r>
    </w:p>
    <w:p>
      <w:pPr>
        <w:pStyle w:val="Normal"/>
        <w:jc w:val="both"/>
        <w:rPr>
          <w:lang w:val="ca-ES" w:bidi="ar-SA"/>
        </w:rPr>
      </w:pPr>
      <w:r>
        <w:rPr>
          <w:lang w:val="ca-ES" w:bidi="ar-SA"/>
        </w:rPr>
        <w:t>La selecció dels projectes guanyadors del “Concurs d'Idees Energy Transition Cities 2016 Segona Edició” es compon de les següents fases:</w:t>
      </w:r>
    </w:p>
    <w:p>
      <w:pPr>
        <w:pStyle w:val="Normal"/>
        <w:spacing w:before="0" w:after="0"/>
        <w:jc w:val="both"/>
        <w:rPr/>
      </w:pPr>
      <w:r>
        <w:rPr>
          <w:rStyle w:val="Strong"/>
          <w:rFonts w:eastAsia="ＭＳ ゴシック" w:ascii="Cambria" w:hAnsi="Cambria"/>
          <w:color w:val="4F81BD"/>
          <w:sz w:val="26"/>
          <w:szCs w:val="26"/>
          <w:lang w:val="ca-ES" w:bidi="ar-SA"/>
        </w:rPr>
        <w:t>Presentació de propostes</w:t>
      </w:r>
    </w:p>
    <w:p>
      <w:pPr>
        <w:pStyle w:val="Normal"/>
        <w:jc w:val="both"/>
        <w:rPr>
          <w:lang w:val="ca-ES" w:bidi="ar-SA"/>
        </w:rPr>
      </w:pPr>
      <w:r>
        <w:rPr>
          <w:lang w:val="ca-ES" w:bidi="ar-SA"/>
        </w:rPr>
        <w:t>Després de la publicació del concurs i durant el període de 10 dies naturals, les persones interessades hauran de presentar obligatòriament els següents documents:</w:t>
      </w:r>
    </w:p>
    <w:p>
      <w:pPr>
        <w:pStyle w:val="ListParagraph"/>
        <w:numPr>
          <w:ilvl w:val="0"/>
          <w:numId w:val="3"/>
        </w:numPr>
        <w:ind w:start="765" w:end="0" w:hanging="360"/>
        <w:jc w:val="both"/>
        <w:rPr/>
      </w:pPr>
      <w:r>
        <w:rPr>
          <w:b/>
          <w:bCs/>
          <w:lang w:val="ca-ES" w:bidi="ar-SA"/>
        </w:rPr>
        <w:t xml:space="preserve">Memòria tècnica </w:t>
      </w:r>
      <w:r>
        <w:rPr>
          <w:lang w:val="ca-ES" w:bidi="ar-SA"/>
        </w:rPr>
        <w:t xml:space="preserve">seguint els models, segons categoria, proporcionats per l'Organització. </w:t>
      </w:r>
    </w:p>
    <w:p>
      <w:pPr>
        <w:pStyle w:val="ListParagraph"/>
        <w:ind w:start="765" w:end="0" w:hanging="360"/>
        <w:jc w:val="both"/>
        <w:rPr>
          <w:lang w:val="ca-ES" w:bidi="ar-SA"/>
        </w:rPr>
      </w:pPr>
      <w:r>
        <w:rPr>
          <w:lang w:val="ca-ES" w:bidi="ar-SA"/>
        </w:rPr>
      </w:r>
    </w:p>
    <w:p>
      <w:pPr>
        <w:pStyle w:val="ListParagraph"/>
        <w:numPr>
          <w:ilvl w:val="0"/>
          <w:numId w:val="3"/>
        </w:numPr>
        <w:ind w:start="765" w:end="0" w:hanging="360"/>
        <w:jc w:val="both"/>
        <w:rPr/>
      </w:pPr>
      <w:r>
        <w:rPr>
          <w:lang w:val="ca-ES" w:bidi="ar-SA"/>
        </w:rPr>
        <w:t xml:space="preserve">Qüestionari </w:t>
      </w:r>
      <w:r>
        <w:rPr>
          <w:b/>
          <w:bCs/>
          <w:lang w:val="ca-ES" w:bidi="ar-SA"/>
        </w:rPr>
        <w:t>“Perfil Social del Sol·licitant”</w:t>
      </w:r>
      <w:r>
        <w:rPr>
          <w:lang w:val="ca-ES" w:bidi="ar-SA"/>
        </w:rPr>
        <w:t>. L'avaluació de la informació d'aquest qüestionari formarà part de la baremació del projecte presentat (veure apartat “baremació de propostes”) en la categoria “innovació social”.</w:t>
      </w:r>
    </w:p>
    <w:p>
      <w:pPr>
        <w:pStyle w:val="ListParagraph"/>
        <w:ind w:start="765" w:end="0" w:hanging="360"/>
        <w:jc w:val="both"/>
        <w:rPr>
          <w:lang w:val="ca-ES" w:bidi="ar-SA"/>
        </w:rPr>
      </w:pPr>
      <w:r>
        <w:rPr>
          <w:lang w:val="ca-ES" w:bidi="ar-SA"/>
        </w:rPr>
      </w:r>
    </w:p>
    <w:p>
      <w:pPr>
        <w:pStyle w:val="Normal"/>
        <w:jc w:val="both"/>
        <w:rPr/>
      </w:pPr>
      <w:r>
        <w:rPr>
          <w:lang w:val="ca-ES" w:bidi="ar-SA"/>
        </w:rPr>
        <w:t xml:space="preserve">S'hauran d'enviar a l'adreça de correu </w:t>
      </w:r>
      <w:r>
        <w:rPr>
          <w:i/>
          <w:iCs/>
          <w:lang w:val="ca-ES" w:bidi="ar-SA"/>
        </w:rPr>
        <w:t>info@inndeavalencia.com</w:t>
      </w:r>
      <w:r>
        <w:rPr>
          <w:lang w:val="ca-ES" w:bidi="ar-SA"/>
        </w:rPr>
        <w:t xml:space="preserve">, indicant </w:t>
      </w:r>
      <w:r>
        <w:rPr>
          <w:i/>
          <w:iCs/>
          <w:lang w:val="ca-ES" w:bidi="ar-SA"/>
        </w:rPr>
        <w:t>“Concurs Idees Energy Transition Cities- Climate Kic 2016”</w:t>
      </w:r>
      <w:r>
        <w:rPr>
          <w:lang w:val="ca-ES" w:bidi="ar-SA"/>
        </w:rPr>
        <w:t xml:space="preserve"> en el camp “assumpte”.</w:t>
      </w:r>
    </w:p>
    <w:p>
      <w:pPr>
        <w:pStyle w:val="Encabezado2"/>
        <w:jc w:val="both"/>
        <w:rPr/>
      </w:pPr>
      <w:r>
        <w:rPr>
          <w:rStyle w:val="Strong"/>
          <w:b/>
          <w:bCs/>
          <w:lang w:val="ca-ES" w:bidi="ar-SA"/>
        </w:rPr>
        <w:t>Selecció</w:t>
      </w:r>
    </w:p>
    <w:p>
      <w:pPr>
        <w:pStyle w:val="Normal"/>
        <w:jc w:val="both"/>
        <w:rPr>
          <w:lang w:val="ca-ES" w:bidi="ar-SA"/>
        </w:rPr>
      </w:pPr>
      <w:r>
        <w:rPr>
          <w:lang w:val="ca-ES" w:bidi="ar-SA"/>
        </w:rPr>
        <w:t>D'entre les propostes rebudes, se seleccionarà propostes d'ambdues categories “Experiment” o “Service Innovation Grant” fins a esgotament del pressupost.</w:t>
      </w:r>
    </w:p>
    <w:p>
      <w:pPr>
        <w:pStyle w:val="Normal"/>
        <w:jc w:val="both"/>
        <w:rPr>
          <w:lang w:val="ca-ES" w:bidi="ar-SA"/>
        </w:rPr>
      </w:pPr>
      <w:r>
        <w:rPr>
          <w:lang w:val="ca-ES" w:bidi="ar-SA"/>
        </w:rPr>
        <w:br/>
        <w:t>La selecció de les propostes es realitzarà pel personal de la Fundació InnDEA i de Climate KIC</w:t>
      </w:r>
    </w:p>
    <w:p>
      <w:pPr>
        <w:pStyle w:val="Normal"/>
        <w:jc w:val="both"/>
        <w:rPr>
          <w:lang w:val="ca-ES" w:bidi="ar-SA"/>
        </w:rPr>
      </w:pPr>
      <w:r>
        <w:rPr>
          <w:lang w:val="ca-ES" w:bidi="ar-SA"/>
        </w:rPr>
        <w:t>Els projectes seleccionats seran convocats per a ser presentats en format entrevista individual al llarg del mes de Desembre a València.</w:t>
      </w:r>
    </w:p>
    <w:p>
      <w:pPr>
        <w:pStyle w:val="Normal"/>
        <w:jc w:val="both"/>
        <w:rPr>
          <w:lang w:val="ca-ES" w:bidi="ar-SA"/>
        </w:rPr>
      </w:pPr>
      <w:r>
        <w:rPr>
          <w:lang w:val="ca-ES" w:bidi="ar-SA"/>
        </w:rPr>
        <w:t>Després del torn d'entrevistes, es donarà a conèixer als projectes seleccionats, els quals rebran el finançament per a desenvolupar-los.</w:t>
      </w:r>
    </w:p>
    <w:p>
      <w:pPr>
        <w:pStyle w:val="Encabezado2"/>
        <w:jc w:val="both"/>
        <w:rPr/>
      </w:pPr>
      <w:r>
        <w:rPr>
          <w:rStyle w:val="Strong"/>
          <w:b/>
          <w:bCs/>
          <w:lang w:val="ca-ES" w:bidi="ar-SA"/>
        </w:rPr>
        <w:t>Elegibilitat administrativa dels projectes seleccionats</w:t>
      </w:r>
    </w:p>
    <w:p>
      <w:pPr>
        <w:pStyle w:val="Normal"/>
        <w:jc w:val="both"/>
        <w:rPr>
          <w:rFonts w:ascii="Calibri" w:hAnsi="Calibri"/>
          <w:sz w:val="22"/>
          <w:szCs w:val="22"/>
        </w:rPr>
      </w:pPr>
      <w:r>
        <w:rPr>
          <w:rFonts w:ascii="Calibri" w:hAnsi="Calibri"/>
          <w:outline w:val="false"/>
          <w:color w:val="262626"/>
          <w:spacing w:val="0"/>
          <w:sz w:val="22"/>
          <w:szCs w:val="22"/>
          <w:lang w:val="ca-ES" w:bidi="ar-SA"/>
        </w:rPr>
        <w:t>Els projectes seleccionats hauran d'aportar tota la documentaci</w:t>
      </w:r>
      <w:r>
        <w:rPr>
          <w:rFonts w:ascii="Calibri" w:hAnsi="Calibri"/>
          <w:outline w:val="false"/>
          <w:color w:val="262626"/>
          <w:spacing w:val="0"/>
          <w:sz w:val="22"/>
          <w:szCs w:val="22"/>
        </w:rPr>
        <w:t>ó administrativa i financera  requerida per la Fundació Inndea per a la formalització del contracte, que en cap cas podrà signar-se després del dia 30 de Desembre de 2016. En el cas contrari, els projectes no seran elegibles com a beneficiaris del concurs i la Fundació Inndea tindrà la potestat de no executar tot o part del pressupost assignat al mateix.</w:t>
      </w:r>
    </w:p>
    <w:p>
      <w:pPr>
        <w:pStyle w:val="Encabezado2"/>
        <w:jc w:val="both"/>
        <w:rPr/>
      </w:pPr>
      <w:r>
        <w:rPr>
          <w:rStyle w:val="Strong"/>
          <w:b/>
          <w:lang w:val="ca-ES" w:bidi="ar-SA"/>
        </w:rPr>
        <w:t>Idiomes admesos</w:t>
      </w:r>
    </w:p>
    <w:p>
      <w:pPr>
        <w:pStyle w:val="ListParagraph"/>
        <w:numPr>
          <w:ilvl w:val="0"/>
          <w:numId w:val="11"/>
        </w:numPr>
        <w:ind w:start="720" w:end="0" w:hanging="360"/>
        <w:jc w:val="both"/>
        <w:rPr>
          <w:lang w:val="ca-ES" w:bidi="ar-SA"/>
        </w:rPr>
      </w:pPr>
      <w:r>
        <w:rPr>
          <w:lang w:val="ca-ES" w:bidi="ar-SA"/>
        </w:rPr>
        <w:t>Els documents de la proposta podran presentar-se en valencià, o castellà i anglès.</w:t>
      </w:r>
    </w:p>
    <w:p>
      <w:pPr>
        <w:pStyle w:val="ListParagraph"/>
        <w:ind w:start="720" w:end="0" w:hanging="360"/>
        <w:jc w:val="both"/>
        <w:rPr>
          <w:lang w:val="ca-ES" w:bidi="ar-SA"/>
        </w:rPr>
      </w:pPr>
      <w:r>
        <w:rPr>
          <w:lang w:val="ca-ES" w:bidi="ar-SA"/>
        </w:rPr>
      </w:r>
    </w:p>
    <w:p>
      <w:pPr>
        <w:pStyle w:val="ListParagraph"/>
        <w:numPr>
          <w:ilvl w:val="0"/>
          <w:numId w:val="11"/>
        </w:numPr>
        <w:ind w:start="720" w:end="0" w:hanging="360"/>
        <w:jc w:val="both"/>
        <w:rPr>
          <w:lang w:val="ca-ES" w:bidi="ar-SA"/>
        </w:rPr>
      </w:pPr>
      <w:r>
        <w:rPr>
          <w:lang w:val="ca-ES" w:bidi="ar-SA"/>
        </w:rPr>
        <w:t>Els projectes seleccionats hauran de presentar una versió en anglès de la Memòria Tècnica.</w:t>
      </w:r>
    </w:p>
    <w:p>
      <w:pPr>
        <w:pStyle w:val="Encabezado1"/>
        <w:jc w:val="both"/>
        <w:rPr>
          <w:lang w:val="ca-ES" w:bidi="ar-SA"/>
        </w:rPr>
      </w:pPr>
      <w:bookmarkStart w:id="17" w:name="__RefHeading___Toc3443_1168995206"/>
      <w:bookmarkStart w:id="18" w:name="_Toc425772244"/>
      <w:bookmarkStart w:id="19" w:name="_Toc454894415"/>
      <w:bookmarkStart w:id="20" w:name="_Toc425771880"/>
      <w:bookmarkEnd w:id="17"/>
      <w:bookmarkEnd w:id="18"/>
      <w:bookmarkEnd w:id="19"/>
      <w:bookmarkEnd w:id="20"/>
      <w:r>
        <w:rPr>
          <w:lang w:val="ca-ES" w:bidi="ar-SA"/>
        </w:rPr>
        <w:t>Baremació de les propostes</w:t>
      </w:r>
    </w:p>
    <w:p>
      <w:pPr>
        <w:pStyle w:val="Encabezado2"/>
        <w:jc w:val="both"/>
        <w:rPr>
          <w:lang w:val="ca-ES" w:bidi="ar-SA"/>
        </w:rPr>
      </w:pPr>
      <w:r>
        <w:rPr>
          <w:lang w:val="ca-ES" w:bidi="ar-SA"/>
        </w:rPr>
        <w:t>Fase Preselecció</w:t>
      </w:r>
    </w:p>
    <w:p>
      <w:pPr>
        <w:pStyle w:val="Normal"/>
        <w:jc w:val="both"/>
        <w:rPr>
          <w:lang w:val="ca-ES" w:bidi="ar-SA"/>
        </w:rPr>
      </w:pPr>
      <w:r>
        <w:rPr>
          <w:lang w:val="ca-ES" w:bidi="ar-SA"/>
        </w:rPr>
        <w:t>Les propostes rebudes seran avaluades segons el següent barem, el qual atorgarà un màxim de 100 punts a cada projecte segons els cinc criteris següents:</w:t>
      </w:r>
    </w:p>
    <w:p>
      <w:pPr>
        <w:pStyle w:val="ListParagraph"/>
        <w:numPr>
          <w:ilvl w:val="0"/>
          <w:numId w:val="9"/>
        </w:numPr>
        <w:spacing w:before="120" w:after="120"/>
        <w:ind w:start="720" w:end="0" w:hanging="360"/>
        <w:jc w:val="both"/>
        <w:rPr/>
      </w:pPr>
      <w:r>
        <w:rPr>
          <w:b/>
          <w:lang w:val="ca-ES" w:bidi="ar-SA"/>
        </w:rPr>
        <w:t>Innovació social</w:t>
      </w:r>
      <w:r>
        <w:rPr>
          <w:lang w:val="ca-ES" w:bidi="ar-SA"/>
        </w:rPr>
        <w:t xml:space="preserve"> (20%) Es considerarà:</w:t>
      </w:r>
    </w:p>
    <w:p>
      <w:pPr>
        <w:pStyle w:val="ListParagraph"/>
        <w:numPr>
          <w:ilvl w:val="0"/>
          <w:numId w:val="8"/>
        </w:numPr>
        <w:spacing w:before="120" w:after="120"/>
        <w:ind w:start="1080" w:end="0" w:hanging="360"/>
        <w:jc w:val="both"/>
        <w:rPr>
          <w:lang w:val="ca-ES" w:bidi="ar-SA"/>
        </w:rPr>
      </w:pPr>
      <w:r>
        <w:rPr>
          <w:lang w:val="ca-ES" w:bidi="ar-SA"/>
        </w:rPr>
        <w:t>Perfil Social de la  persona sol·licitant: es valorarà la informació reflectida al “Perfil Social de la persona sol·licitant”</w:t>
      </w:r>
    </w:p>
    <w:p>
      <w:pPr>
        <w:pStyle w:val="ListParagraph"/>
        <w:numPr>
          <w:ilvl w:val="0"/>
          <w:numId w:val="8"/>
        </w:numPr>
        <w:spacing w:before="120" w:after="120"/>
        <w:ind w:start="1080" w:end="0" w:hanging="360"/>
        <w:jc w:val="both"/>
        <w:rPr>
          <w:lang w:val="ca-ES" w:bidi="ar-SA"/>
        </w:rPr>
      </w:pPr>
      <w:r>
        <w:rPr>
          <w:lang w:val="ca-ES" w:bidi="ar-SA"/>
        </w:rPr>
        <w:t>Perfil Social de la proposta: es valorarà la informació inclosa a l'apartat “Innovació Social” de la memòria tècnica.</w:t>
      </w:r>
    </w:p>
    <w:p>
      <w:pPr>
        <w:pStyle w:val="ListParagraph"/>
        <w:numPr>
          <w:ilvl w:val="0"/>
          <w:numId w:val="9"/>
        </w:numPr>
        <w:spacing w:before="120" w:after="120"/>
        <w:ind w:start="720" w:end="0" w:hanging="360"/>
        <w:jc w:val="both"/>
        <w:rPr/>
      </w:pPr>
      <w:r>
        <w:rPr>
          <w:b/>
          <w:lang w:val="ca-ES" w:bidi="ar-SA"/>
        </w:rPr>
        <w:t>Impacte en la mitigació del canvi climàtic</w:t>
      </w:r>
      <w:r>
        <w:rPr>
          <w:lang w:val="ca-ES" w:bidi="ar-SA"/>
        </w:rPr>
        <w:t xml:space="preserve"> (40%)</w:t>
      </w:r>
    </w:p>
    <w:p>
      <w:pPr>
        <w:pStyle w:val="ListParagraph"/>
        <w:numPr>
          <w:ilvl w:val="0"/>
          <w:numId w:val="10"/>
        </w:numPr>
        <w:spacing w:before="120" w:after="120"/>
        <w:ind w:start="1080" w:end="0" w:hanging="360"/>
        <w:jc w:val="both"/>
        <w:rPr>
          <w:lang w:val="ca-ES" w:bidi="ar-SA"/>
        </w:rPr>
      </w:pPr>
      <w:r>
        <w:rPr>
          <w:lang w:val="ca-ES" w:bidi="ar-SA"/>
        </w:rPr>
        <w:t>Es valoraran els indicadors (reducció de EqCO2, etc) inclosos en la memòria tècnica, així com els resultats esperats.</w:t>
      </w:r>
    </w:p>
    <w:p>
      <w:pPr>
        <w:pStyle w:val="ListParagraph"/>
        <w:numPr>
          <w:ilvl w:val="0"/>
          <w:numId w:val="9"/>
        </w:numPr>
        <w:spacing w:before="120" w:after="120"/>
        <w:ind w:start="720" w:end="0" w:hanging="360"/>
        <w:jc w:val="both"/>
        <w:rPr/>
      </w:pPr>
      <w:r>
        <w:rPr>
          <w:b/>
          <w:lang w:val="ca-ES" w:bidi="ar-SA"/>
        </w:rPr>
        <w:t>Relació amb els reptes proposats</w:t>
      </w:r>
      <w:r>
        <w:rPr>
          <w:lang w:val="ca-ES" w:bidi="ar-SA"/>
        </w:rPr>
        <w:t xml:space="preserve"> (15%)</w:t>
      </w:r>
    </w:p>
    <w:p>
      <w:pPr>
        <w:pStyle w:val="ListParagraph"/>
        <w:numPr>
          <w:ilvl w:val="0"/>
          <w:numId w:val="9"/>
        </w:numPr>
        <w:spacing w:before="120" w:after="120"/>
        <w:ind w:start="720" w:end="0" w:hanging="360"/>
        <w:jc w:val="both"/>
        <w:rPr/>
      </w:pPr>
      <w:r>
        <w:rPr>
          <w:b/>
          <w:lang w:val="ca-ES" w:bidi="ar-SA"/>
        </w:rPr>
        <w:t>Contingut tècnic</w:t>
      </w:r>
      <w:r>
        <w:rPr>
          <w:lang w:val="ca-ES" w:bidi="ar-SA"/>
        </w:rPr>
        <w:t xml:space="preserve"> innovador i replicabilitat (15%)</w:t>
      </w:r>
    </w:p>
    <w:p>
      <w:pPr>
        <w:pStyle w:val="ListParagraph"/>
        <w:numPr>
          <w:ilvl w:val="0"/>
          <w:numId w:val="9"/>
        </w:numPr>
        <w:spacing w:before="120" w:after="120"/>
        <w:ind w:start="720" w:end="0" w:hanging="360"/>
        <w:jc w:val="both"/>
        <w:rPr/>
      </w:pPr>
      <w:r>
        <w:rPr>
          <w:b/>
          <w:lang w:val="ca-ES" w:bidi="ar-SA"/>
        </w:rPr>
        <w:t>Experiència prèvia</w:t>
      </w:r>
      <w:r>
        <w:rPr>
          <w:lang w:val="ca-ES" w:bidi="ar-SA"/>
        </w:rPr>
        <w:t xml:space="preserve"> (10%)</w:t>
      </w:r>
    </w:p>
    <w:p>
      <w:pPr>
        <w:pStyle w:val="Normal"/>
        <w:jc w:val="both"/>
        <w:rPr>
          <w:lang w:val="ca-ES" w:bidi="ar-SA"/>
        </w:rPr>
      </w:pPr>
      <w:r>
        <w:rPr>
          <w:lang w:val="ca-ES" w:bidi="ar-SA"/>
        </w:rPr>
        <w:t>Les propostes millor puntuades participaran en la fase d'entrevista final.</w:t>
      </w:r>
    </w:p>
    <w:p>
      <w:pPr>
        <w:pStyle w:val="Encabezado1"/>
        <w:jc w:val="both"/>
        <w:rPr>
          <w:lang w:val="ca-ES" w:bidi="ar-SA"/>
        </w:rPr>
      </w:pPr>
      <w:bookmarkStart w:id="21" w:name="__RefHeading___Toc3445_1168995206"/>
      <w:bookmarkStart w:id="22" w:name="_Toc454894416"/>
      <w:bookmarkStart w:id="23" w:name="_Toc425772246"/>
      <w:bookmarkStart w:id="24" w:name="_Toc425771882"/>
      <w:bookmarkEnd w:id="21"/>
      <w:bookmarkEnd w:id="22"/>
      <w:bookmarkEnd w:id="23"/>
      <w:bookmarkEnd w:id="24"/>
      <w:r>
        <w:rPr>
          <w:lang w:val="ca-ES" w:bidi="ar-SA"/>
        </w:rPr>
        <w:t>Pressupost</w:t>
      </w:r>
    </w:p>
    <w:p>
      <w:pPr>
        <w:pStyle w:val="Normal"/>
        <w:jc w:val="both"/>
        <w:rPr>
          <w:lang w:val="ca-ES" w:bidi="ar-SA"/>
        </w:rPr>
      </w:pPr>
      <w:r>
        <w:rPr>
          <w:lang w:val="ca-ES" w:bidi="ar-SA"/>
        </w:rPr>
        <w:t xml:space="preserve">Se concediran projectes fins a esgotament del pressupost corresponents a les següents categories i pressupost: </w:t>
      </w:r>
    </w:p>
    <w:p>
      <w:pPr>
        <w:pStyle w:val="ListParagraph"/>
        <w:numPr>
          <w:ilvl w:val="0"/>
          <w:numId w:val="4"/>
        </w:numPr>
        <w:jc w:val="both"/>
        <w:rPr/>
      </w:pPr>
      <w:r>
        <w:rPr>
          <w:lang w:val="ca-ES" w:bidi="ar-SA"/>
        </w:rPr>
        <w:t>“</w:t>
      </w:r>
      <w:r>
        <w:rPr>
          <w:lang w:val="ca-ES" w:bidi="ar-SA"/>
        </w:rPr>
        <w:t>Experiment”: Màxim 21,7</w:t>
      </w:r>
      <w:r>
        <w:rPr>
          <w:color w:val="000000"/>
          <w:lang w:val="ca-ES" w:bidi="ar-SA"/>
        </w:rPr>
        <w:t>00€ per projecte (IVA incl.), Pressupost Total 21,700 € (IVA incl.)</w:t>
      </w:r>
    </w:p>
    <w:p>
      <w:pPr>
        <w:pStyle w:val="ListParagraph"/>
        <w:numPr>
          <w:ilvl w:val="0"/>
          <w:numId w:val="4"/>
        </w:numPr>
        <w:jc w:val="both"/>
        <w:rPr/>
      </w:pPr>
      <w:r>
        <w:rPr>
          <w:lang w:val="ca-ES" w:bidi="ar-SA"/>
        </w:rPr>
        <w:t>“</w:t>
      </w:r>
      <w:r>
        <w:rPr>
          <w:lang w:val="ca-ES" w:bidi="ar-SA"/>
        </w:rPr>
        <w:t>SIG”: Màxim 10,125</w:t>
      </w:r>
      <w:r>
        <w:rPr>
          <w:color w:val="000000"/>
          <w:lang w:val="ca-ES" w:bidi="ar-SA"/>
        </w:rPr>
        <w:t>€ per projecte (IVA incl.), Pressupost Total 20,250 € (IVA incl.)</w:t>
      </w:r>
    </w:p>
    <w:p>
      <w:pPr>
        <w:pStyle w:val="Encabezado1"/>
        <w:jc w:val="both"/>
        <w:rPr>
          <w:lang w:val="ca-ES" w:bidi="ar-SA"/>
        </w:rPr>
      </w:pPr>
      <w:bookmarkStart w:id="25" w:name="__RefHeading___Toc3447_1168995206"/>
      <w:bookmarkStart w:id="26" w:name="_Toc454894417"/>
      <w:bookmarkStart w:id="27" w:name="_Toc425772245"/>
      <w:bookmarkStart w:id="28" w:name="_Toc425771881"/>
      <w:bookmarkEnd w:id="25"/>
      <w:bookmarkEnd w:id="26"/>
      <w:bookmarkEnd w:id="27"/>
      <w:bookmarkEnd w:id="28"/>
      <w:r>
        <w:rPr>
          <w:lang w:val="ca-ES" w:bidi="ar-SA"/>
        </w:rPr>
        <w:t>Marc Jurídic</w:t>
      </w:r>
    </w:p>
    <w:p>
      <w:pPr>
        <w:pStyle w:val="Normal"/>
        <w:widowControl w:val="false"/>
        <w:spacing w:before="120" w:after="120"/>
        <w:jc w:val="both"/>
        <w:rPr>
          <w:lang w:val="ca-ES" w:bidi="ar-SA"/>
        </w:rPr>
      </w:pPr>
      <w:r>
        <w:rPr>
          <w:lang w:val="ca-ES" w:bidi="ar-SA"/>
        </w:rPr>
        <w:t>La present contractació respon a la fórmula de contracte de servei, en ser conforme al que es disposa en l'art. 10 del Text Refós de la Llei de Contractes del Sector Públic, aprovat per Reial decret Legislatiu 3/2011, de 14 de novembre. Així mateix, la seua naturalesa és la de contracte privat en ser conforme amb l'art. 20 d'aquest Text refós.</w:t>
      </w:r>
    </w:p>
    <w:sectPr>
      <w:headerReference w:type="default" r:id="rId4"/>
      <w:footerReference w:type="default" r:id="rId5"/>
      <w:type w:val="nextPage"/>
      <w:pgSz w:w="11906" w:h="16838"/>
      <w:pgMar w:left="1701" w:right="1701" w:header="708" w:top="2410"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DigitalSansEF">
    <w:charset w:val="01" w:characterSet="utf-8"/>
    <w:family w:val="roman"/>
    <w:pitch w:val="variable"/>
  </w:font>
  <w:font w:name="Calibri">
    <w:charset w:val="01" w:characterSet="utf-8"/>
    <w:family w:val="roman"/>
    <w:pitch w:val="variable"/>
  </w:font>
  <w:font w:name="Cambria">
    <w:charset w:val="01" w:characterSet="utf-8"/>
    <w:family w:val="roman"/>
    <w:pitch w:val="variable"/>
  </w:font>
  <w:font w:name="Tahoma">
    <w:charset w:val="01" w:characterSet="utf-8"/>
    <w:family w:val="roman"/>
    <w:pitch w:val="variable"/>
  </w:font>
  <w:font w:name="Arial">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swiss"/>
    <w:pitch w:val="variable"/>
  </w:font>
  <w:font w:name="Liberation Sans">
    <w:altName w:val="Arial"/>
    <w:charset w:val="01" w:characterSet="utf-8"/>
    <w:family w:val="roman"/>
    <w:pitch w:val="variable"/>
  </w:font>
  <w:font w:name="Calibri">
    <w:charset w:val="01" w:characterSet="utf-8"/>
    <w:family w:val="swiss"/>
    <w:pitch w:val="default"/>
  </w:font>
  <w:font w:name="Courier">
    <w:altName w:val="Courier New"/>
    <w:charset w:val="01" w:characterSet="utf-8"/>
    <w:family w:val="roman"/>
    <w:pitch w:val="variable"/>
  </w:font>
  <w:font w:name="Symbol">
    <w:charset w:val="01" w:characterSet="utf-8"/>
    <w:family w:val="roman"/>
    <w:pitch w:val="variable"/>
  </w:font>
  <w:font w:name="Symbol">
    <w:charset w:val="02"/>
    <w:family w:val="auto"/>
    <w:pitch w:val="variable"/>
  </w:font>
  <w:font w:name="Courier New">
    <w:charset w:val="01" w:characterSet="utf-8"/>
    <w:family w:val="modern"/>
    <w:pitch w:val="variable"/>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enter" w:pos="4252" w:leader="none"/>
        <w:tab w:val="right" w:pos="8504" w:leader="none"/>
        <w:tab w:val="right" w:pos="9072" w:leader="none"/>
      </w:tabs>
      <w:spacing w:before="0" w:after="0"/>
      <w:ind w:start="0" w:end="0" w:hanging="709"/>
      <w:rPr/>
    </w:pPr>
    <w:r>
      <w:rPr/>
    </w:r>
  </w:p>
  <w:p>
    <w:pPr>
      <w:pStyle w:val="Piedepgina"/>
      <w:tabs>
        <w:tab w:val="center" w:pos="4252" w:leader="none"/>
        <w:tab w:val="left" w:pos="7230" w:leader="none"/>
        <w:tab w:val="right" w:pos="8498" w:leader="none"/>
        <w:tab w:val="right" w:pos="8504" w:leader="none"/>
      </w:tabs>
      <w:spacing w:before="120" w:after="120"/>
      <w:jc w:val="star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enter" w:pos="4252" w:leader="none"/>
        <w:tab w:val="right" w:pos="8504" w:leader="none"/>
        <w:tab w:val="right" w:pos="9072" w:leader="none"/>
      </w:tabs>
      <w:spacing w:before="0" w:after="0"/>
      <w:ind w:start="0" w:end="0" w:hanging="709"/>
      <w:rPr>
        <w:rFonts w:ascii="Courier" w:hAnsi="Courier"/>
        <w:color w:val="4F81BD"/>
        <w:sz w:val="18"/>
        <w:szCs w:val="18"/>
      </w:rPr>
    </w:pPr>
    <w:r>
      <w:rPr>
        <w:rFonts w:ascii="Courier" w:hAnsi="Courier"/>
        <w:color w:val="4F81BD"/>
        <w:sz w:val="18"/>
        <w:szCs w:val="18"/>
      </w:rPr>
    </w:r>
  </w:p>
  <w:p>
    <w:pPr>
      <w:pStyle w:val="Piedepgina"/>
      <w:tabs>
        <w:tab w:val="center" w:pos="4252" w:leader="none"/>
        <w:tab w:val="right" w:pos="8504" w:leader="none"/>
        <w:tab w:val="right" w:pos="9072" w:leader="none"/>
      </w:tabs>
      <w:spacing w:before="0" w:after="0"/>
      <w:ind w:start="0" w:end="0" w:hanging="709"/>
      <w:rPr>
        <w:rFonts w:ascii="Courier" w:hAnsi="Courier"/>
        <w:color w:val="4F81BD"/>
        <w:sz w:val="18"/>
        <w:szCs w:val="18"/>
      </w:rPr>
    </w:pPr>
    <w:r>
      <w:rPr>
        <w:rFonts w:ascii="Courier" w:hAnsi="Courier"/>
        <w:color w:val="4F81BD"/>
        <w:sz w:val="18"/>
        <w:szCs w:val="18"/>
      </w:rPr>
      <w:t>InnDEA València</w:t>
    </w:r>
  </w:p>
  <w:p>
    <w:pPr>
      <w:pStyle w:val="Piedepgina"/>
      <w:tabs>
        <w:tab w:val="center" w:pos="4252" w:leader="none"/>
        <w:tab w:val="right" w:pos="8504" w:leader="none"/>
        <w:tab w:val="right" w:pos="9072" w:leader="none"/>
      </w:tabs>
      <w:spacing w:before="0" w:after="0"/>
      <w:ind w:start="0" w:end="0" w:hanging="709"/>
      <w:rPr>
        <w:rFonts w:ascii="Courier" w:hAnsi="Courier"/>
        <w:color w:val="4F81BD"/>
        <w:sz w:val="18"/>
        <w:szCs w:val="18"/>
      </w:rPr>
    </w:pPr>
    <w:r>
      <w:rPr>
        <w:rFonts w:ascii="Courier" w:hAnsi="Courier"/>
        <w:color w:val="4F81BD"/>
        <w:sz w:val="18"/>
        <w:szCs w:val="18"/>
      </w:rPr>
      <w:t>Las Naves C/ Joan Verdeguer, 16, 46024 València</w:t>
    </w:r>
  </w:p>
  <w:p>
    <w:pPr>
      <w:pStyle w:val="Piedepgina"/>
      <w:tabs>
        <w:tab w:val="center" w:pos="4252" w:leader="none"/>
        <w:tab w:val="right" w:pos="8504" w:leader="none"/>
        <w:tab w:val="right" w:pos="9072" w:leader="none"/>
      </w:tabs>
      <w:spacing w:before="0" w:after="0"/>
      <w:ind w:start="0" w:end="0" w:hanging="709"/>
      <w:rPr/>
    </w:pPr>
    <w:r>
      <w:rPr>
        <w:rFonts w:ascii="Courier" w:hAnsi="Courier"/>
        <w:color w:val="4F81BD"/>
        <w:sz w:val="18"/>
        <w:szCs w:val="18"/>
      </w:rPr>
      <w:t xml:space="preserve">T. +34 96 391 04 77 </w:t>
    </w:r>
    <w:r>
      <w:rPr>
        <w:rFonts w:eastAsia="Symbol" w:cs="Symbol" w:ascii="Symbol" w:hAnsi="Symbol"/>
        <w:color w:val="4F81BD"/>
        <w:sz w:val="18"/>
        <w:szCs w:val="18"/>
      </w:rPr>
      <w:t></w:t>
    </w:r>
    <w:r>
      <w:rPr>
        <w:rFonts w:ascii="Courier" w:hAnsi="Courier"/>
        <w:color w:val="4F81BD"/>
        <w:sz w:val="18"/>
        <w:szCs w:val="18"/>
      </w:rPr>
      <w:t xml:space="preserve"> www.inndeavalencia.com </w:t>
    </w:r>
    <w:r>
      <w:rPr>
        <w:rFonts w:eastAsia="Symbol" w:cs="Symbol" w:ascii="Symbol" w:hAnsi="Symbol"/>
        <w:color w:val="4F81BD"/>
        <w:sz w:val="18"/>
        <w:szCs w:val="18"/>
      </w:rPr>
      <w:t></w:t>
    </w:r>
    <w:r>
      <w:rPr>
        <w:rFonts w:ascii="Courier" w:hAnsi="Courier"/>
        <w:color w:val="4F81BD"/>
        <w:sz w:val="18"/>
        <w:szCs w:val="18"/>
      </w:rPr>
      <w:t xml:space="preserve"> info@inndeavalencia.com</w:t>
    </w:r>
  </w:p>
  <w:p>
    <w:pPr>
      <w:pStyle w:val="Piedepgina"/>
      <w:jc w:val="end"/>
      <w:rPr/>
    </w:pPr>
    <w:r>
      <w:rPr/>
      <w:fldChar w:fldCharType="begin"/>
    </w:r>
    <w:r>
      <w:instrText> PAGE </w:instrText>
    </w:r>
    <w:r>
      <w:fldChar w:fldCharType="separate"/>
    </w:r>
    <w:r>
      <w:t>6</w:t>
    </w:r>
    <w:r>
      <w:fldChar w:fldCharType="end"/>
    </w:r>
  </w:p>
  <w:p>
    <w:pPr>
      <w:pStyle w:val="Piedepgina"/>
      <w:tabs>
        <w:tab w:val="left" w:pos="3645" w:leader="none"/>
        <w:tab w:val="center" w:pos="4252" w:leader="none"/>
        <w:tab w:val="right" w:pos="8504" w:leader="none"/>
      </w:tabs>
      <w:spacing w:before="120" w:after="120"/>
      <w:jc w:val="start"/>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tabs>
        <w:tab w:val="left" w:pos="1335" w:leader="none"/>
        <w:tab w:val="center" w:pos="4252" w:leader="none"/>
        <w:tab w:val="right" w:pos="8504" w:leader="none"/>
      </w:tabs>
      <w:spacing w:before="120" w:after="120"/>
      <w:rPr/>
    </w:pPr>
    <w:r>
      <w:rPr/>
      <w:drawing>
        <wp:inline distT="0" distB="0" distL="0" distR="0">
          <wp:extent cx="1609725" cy="600710"/>
          <wp:effectExtent l="0" t="0" r="0" b="0"/>
          <wp:docPr id="1" name="Pictur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title=""/>
                  <pic:cNvPicPr>
                    <a:picLocks noChangeAspect="1" noChangeArrowheads="1"/>
                  </pic:cNvPicPr>
                </pic:nvPicPr>
                <pic:blipFill>
                  <a:blip r:embed="rId1"/>
                  <a:stretch>
                    <a:fillRect/>
                  </a:stretch>
                </pic:blipFill>
                <pic:spPr bwMode="auto">
                  <a:xfrm>
                    <a:off x="0" y="0"/>
                    <a:ext cx="1609725" cy="600710"/>
                  </a:xfrm>
                  <a:prstGeom prst="rect">
                    <a:avLst/>
                  </a:prstGeom>
                </pic:spPr>
              </pic:pic>
            </a:graphicData>
          </a:graphic>
        </wp:inline>
      </w:drawing>
    </w:r>
    <w:r>
      <w:rPr>
        <w:color w:val="1F497D"/>
      </w:rPr>
      <w:drawing>
        <wp:anchor behindDoc="1" distT="0" distB="5715" distL="114300" distR="115570" simplePos="0" locked="0" layoutInCell="1" allowOverlap="1" relativeHeight="2">
          <wp:simplePos x="0" y="0"/>
          <wp:positionH relativeFrom="margin">
            <wp:posOffset>3339465</wp:posOffset>
          </wp:positionH>
          <wp:positionV relativeFrom="paragraph">
            <wp:posOffset>-165100</wp:posOffset>
          </wp:positionV>
          <wp:extent cx="2608580" cy="984885"/>
          <wp:effectExtent l="0" t="0" r="0" b="0"/>
          <wp:wrapNone/>
          <wp:docPr id="2"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title=""/>
                  <pic:cNvPicPr>
                    <a:picLocks noChangeAspect="1" noChangeArrowheads="1"/>
                  </pic:cNvPicPr>
                </pic:nvPicPr>
                <pic:blipFill>
                  <a:blip r:embed="rId2"/>
                  <a:srcRect l="9461" t="25035" r="33109" b="22718"/>
                  <a:stretch>
                    <a:fillRect/>
                  </a:stretch>
                </pic:blipFill>
                <pic:spPr bwMode="auto">
                  <a:xfrm>
                    <a:off x="0" y="0"/>
                    <a:ext cx="2608580" cy="984885"/>
                  </a:xfrm>
                  <a:prstGeom prst="rect">
                    <a:avLst/>
                  </a:prstGeom>
                </pic:spPr>
              </pic:pic>
            </a:graphicData>
          </a:graphic>
        </wp:anchor>
      </w:drawing>
    </w:r>
    <w:r>
      <w:rPr>
        <w:color w:val="1F497D"/>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tabs>
        <w:tab w:val="left" w:pos="1335" w:leader="none"/>
        <w:tab w:val="center" w:pos="4252" w:leader="none"/>
        <w:tab w:val="right" w:pos="8504" w:leader="none"/>
      </w:tabs>
      <w:spacing w:before="120" w:after="120"/>
      <w:rPr/>
    </w:pPr>
    <w:r>
      <w:rPr/>
      <w:drawing>
        <wp:inline distT="0" distB="0" distL="0" distR="0">
          <wp:extent cx="1609725" cy="600710"/>
          <wp:effectExtent l="0" t="0" r="0" b="0"/>
          <wp:docPr id="3"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title=""/>
                  <pic:cNvPicPr>
                    <a:picLocks noChangeAspect="1" noChangeArrowheads="1"/>
                  </pic:cNvPicPr>
                </pic:nvPicPr>
                <pic:blipFill>
                  <a:blip r:embed="rId1"/>
                  <a:stretch>
                    <a:fillRect/>
                  </a:stretch>
                </pic:blipFill>
                <pic:spPr bwMode="auto">
                  <a:xfrm>
                    <a:off x="0" y="0"/>
                    <a:ext cx="1609725" cy="600710"/>
                  </a:xfrm>
                  <a:prstGeom prst="rect">
                    <a:avLst/>
                  </a:prstGeom>
                </pic:spPr>
              </pic:pic>
            </a:graphicData>
          </a:graphic>
        </wp:inline>
      </w:drawing>
    </w:r>
    <w:r>
      <w:rPr>
        <w:color w:val="1F497D"/>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ind w:start="720" w:hanging="360"/>
      </w:pPr>
      <w:rPr>
        <w:rFonts w:ascii="Symbol" w:hAnsi="Symbol" w:cs="Symbol" w:hint="default"/>
        <w:sz w:val="22"/>
        <w:b w:val="false"/>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sz w:val="22"/>
        <w:b w:val="false"/>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sz w:val="22"/>
        <w:b w:val="false"/>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2">
    <w:lvl w:ilvl="0">
      <w:start w:val="1"/>
      <w:numFmt w:val="bullet"/>
      <w:lvlText w:val=""/>
      <w:lvlJc w:val="start"/>
      <w:pPr>
        <w:ind w:start="720" w:hanging="360"/>
      </w:pPr>
      <w:rPr>
        <w:rFonts w:ascii="Symbol" w:hAnsi="Symbol" w:cs="Symbol" w:hint="default"/>
        <w:sz w:val="22"/>
        <w:b w:val="false"/>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sz w:val="22"/>
        <w:b w:val="false"/>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sz w:val="22"/>
        <w:b w:val="false"/>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3">
    <w:lvl w:ilvl="0">
      <w:start w:val="1"/>
      <w:numFmt w:val="bullet"/>
      <w:lvlText w:val=""/>
      <w:lvlJc w:val="start"/>
      <w:pPr>
        <w:ind w:start="765" w:hanging="360"/>
      </w:pPr>
      <w:rPr>
        <w:rFonts w:ascii="Symbol" w:hAnsi="Symbol" w:cs="Symbol" w:hint="default"/>
        <w:sz w:val="22"/>
        <w:b w:val="false"/>
        <w:rFonts w:cs="Symbol"/>
      </w:rPr>
    </w:lvl>
    <w:lvl w:ilvl="1">
      <w:start w:val="1"/>
      <w:numFmt w:val="bullet"/>
      <w:lvlText w:val="o"/>
      <w:lvlJc w:val="start"/>
      <w:pPr>
        <w:ind w:start="1485" w:hanging="360"/>
      </w:pPr>
      <w:rPr>
        <w:rFonts w:ascii="Courier New" w:hAnsi="Courier New" w:cs="Courier New" w:hint="default"/>
        <w:rFonts w:cs="Courier New"/>
      </w:rPr>
    </w:lvl>
    <w:lvl w:ilvl="2">
      <w:start w:val="1"/>
      <w:numFmt w:val="bullet"/>
      <w:lvlText w:val=""/>
      <w:lvlJc w:val="start"/>
      <w:pPr>
        <w:ind w:start="2205" w:hanging="360"/>
      </w:pPr>
      <w:rPr>
        <w:rFonts w:ascii="Wingdings" w:hAnsi="Wingdings" w:cs="Wingdings" w:hint="default"/>
        <w:rFonts w:cs="Wingdings"/>
      </w:rPr>
    </w:lvl>
    <w:lvl w:ilvl="3">
      <w:start w:val="1"/>
      <w:numFmt w:val="bullet"/>
      <w:lvlText w:val=""/>
      <w:lvlJc w:val="start"/>
      <w:pPr>
        <w:ind w:start="2925" w:hanging="360"/>
      </w:pPr>
      <w:rPr>
        <w:rFonts w:ascii="Symbol" w:hAnsi="Symbol" w:cs="Symbol" w:hint="default"/>
        <w:sz w:val="22"/>
        <w:b w:val="false"/>
        <w:rFonts w:cs="Symbol"/>
      </w:rPr>
    </w:lvl>
    <w:lvl w:ilvl="4">
      <w:start w:val="1"/>
      <w:numFmt w:val="bullet"/>
      <w:lvlText w:val="o"/>
      <w:lvlJc w:val="start"/>
      <w:pPr>
        <w:ind w:start="3645" w:hanging="360"/>
      </w:pPr>
      <w:rPr>
        <w:rFonts w:ascii="Courier New" w:hAnsi="Courier New" w:cs="Courier New" w:hint="default"/>
        <w:rFonts w:cs="Courier New"/>
      </w:rPr>
    </w:lvl>
    <w:lvl w:ilvl="5">
      <w:start w:val="1"/>
      <w:numFmt w:val="bullet"/>
      <w:lvlText w:val=""/>
      <w:lvlJc w:val="start"/>
      <w:pPr>
        <w:ind w:start="4365" w:hanging="360"/>
      </w:pPr>
      <w:rPr>
        <w:rFonts w:ascii="Wingdings" w:hAnsi="Wingdings" w:cs="Wingdings" w:hint="default"/>
        <w:rFonts w:cs="Wingdings"/>
      </w:rPr>
    </w:lvl>
    <w:lvl w:ilvl="6">
      <w:start w:val="1"/>
      <w:numFmt w:val="bullet"/>
      <w:lvlText w:val=""/>
      <w:lvlJc w:val="start"/>
      <w:pPr>
        <w:ind w:start="5085" w:hanging="360"/>
      </w:pPr>
      <w:rPr>
        <w:rFonts w:ascii="Symbol" w:hAnsi="Symbol" w:cs="Symbol" w:hint="default"/>
        <w:sz w:val="22"/>
        <w:b w:val="false"/>
        <w:rFonts w:cs="Symbol"/>
      </w:rPr>
    </w:lvl>
    <w:lvl w:ilvl="7">
      <w:start w:val="1"/>
      <w:numFmt w:val="bullet"/>
      <w:lvlText w:val="o"/>
      <w:lvlJc w:val="start"/>
      <w:pPr>
        <w:ind w:start="5805" w:hanging="360"/>
      </w:pPr>
      <w:rPr>
        <w:rFonts w:ascii="Courier New" w:hAnsi="Courier New" w:cs="Courier New" w:hint="default"/>
        <w:rFonts w:cs="Courier New"/>
      </w:rPr>
    </w:lvl>
    <w:lvl w:ilvl="8">
      <w:start w:val="1"/>
      <w:numFmt w:val="bullet"/>
      <w:lvlText w:val=""/>
      <w:lvlJc w:val="start"/>
      <w:pPr>
        <w:ind w:start="6525" w:hanging="360"/>
      </w:pPr>
      <w:rPr>
        <w:rFonts w:ascii="Wingdings" w:hAnsi="Wingdings" w:cs="Wingdings" w:hint="default"/>
        <w:rFonts w:cs="Wingdings"/>
      </w:rPr>
    </w:lvl>
  </w:abstractNum>
  <w:abstractNum w:abstractNumId="4">
    <w:lvl w:ilvl="0">
      <w:start w:val="1"/>
      <w:numFmt w:val="bullet"/>
      <w:lvlText w:val=""/>
      <w:lvlJc w:val="start"/>
      <w:pPr>
        <w:ind w:start="720" w:hanging="360"/>
      </w:pPr>
      <w:rPr>
        <w:rFonts w:ascii="Symbol" w:hAnsi="Symbol" w:cs="Symbol" w:hint="default"/>
        <w:sz w:val="22"/>
        <w:b w:val="false"/>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sz w:val="22"/>
        <w:b w:val="false"/>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sz w:val="22"/>
        <w:b w:val="false"/>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5">
    <w:lvl w:ilvl="0">
      <w:start w:val="1"/>
      <w:numFmt w:val="decimal"/>
      <w:lvlText w:val="%1."/>
      <w:lvlJc w:val="start"/>
      <w:pPr>
        <w:ind w:start="720" w:hanging="360"/>
      </w:pPr>
    </w:lvl>
    <w:lvl w:ilvl="1">
      <w:start w:val="1"/>
      <w:numFmt w:val="lowerLetter"/>
      <w:lvlText w:val="%2."/>
      <w:lvlJc w:val="start"/>
      <w:pPr>
        <w:ind w:start="1440" w:hanging="360"/>
      </w:pPr>
    </w:lvl>
    <w:lvl w:ilvl="2">
      <w:start w:val="1"/>
      <w:numFmt w:val="lowerRoman"/>
      <w:lvlText w:val="%3."/>
      <w:lvlJc w:val="end"/>
      <w:pPr>
        <w:ind w:start="2160" w:hanging="180"/>
      </w:pPr>
    </w:lvl>
    <w:lvl w:ilvl="3">
      <w:start w:val="1"/>
      <w:numFmt w:val="decimal"/>
      <w:lvlText w:val="%4."/>
      <w:lvlJc w:val="start"/>
      <w:pPr>
        <w:ind w:start="2880" w:hanging="360"/>
      </w:pPr>
    </w:lvl>
    <w:lvl w:ilvl="4">
      <w:start w:val="1"/>
      <w:numFmt w:val="lowerLetter"/>
      <w:lvlText w:val="%5."/>
      <w:lvlJc w:val="start"/>
      <w:pPr>
        <w:ind w:start="3600" w:hanging="360"/>
      </w:pPr>
    </w:lvl>
    <w:lvl w:ilvl="5">
      <w:start w:val="1"/>
      <w:numFmt w:val="lowerRoman"/>
      <w:lvlText w:val="%6."/>
      <w:lvlJc w:val="end"/>
      <w:pPr>
        <w:ind w:start="4320" w:hanging="180"/>
      </w:pPr>
    </w:lvl>
    <w:lvl w:ilvl="6">
      <w:start w:val="1"/>
      <w:numFmt w:val="decimal"/>
      <w:lvlText w:val="%7."/>
      <w:lvlJc w:val="start"/>
      <w:pPr>
        <w:ind w:start="5040" w:hanging="360"/>
      </w:pPr>
    </w:lvl>
    <w:lvl w:ilvl="7">
      <w:start w:val="1"/>
      <w:numFmt w:val="lowerLetter"/>
      <w:lvlText w:val="%8."/>
      <w:lvlJc w:val="start"/>
      <w:pPr>
        <w:ind w:start="5760" w:hanging="360"/>
      </w:pPr>
    </w:lvl>
    <w:lvl w:ilvl="8">
      <w:start w:val="1"/>
      <w:numFmt w:val="lowerRoman"/>
      <w:lvlText w:val="%9."/>
      <w:lvlJc w:val="end"/>
      <w:pPr>
        <w:ind w:start="6480" w:hanging="180"/>
      </w:pPr>
    </w:lvl>
  </w:abstractNum>
  <w:abstractNum w:abstractNumId="6">
    <w:lvl w:ilvl="0">
      <w:start w:val="1"/>
      <w:numFmt w:val="bullet"/>
      <w:lvlText w:val=""/>
      <w:lvlJc w:val="start"/>
      <w:pPr>
        <w:ind w:start="1080" w:hanging="360"/>
      </w:pPr>
      <w:rPr>
        <w:rFonts w:ascii="Symbol" w:hAnsi="Symbol" w:cs="Symbol" w:hint="default"/>
        <w:sz w:val="22"/>
        <w:b w:val="false"/>
        <w:rFonts w:cs="Symbol"/>
      </w:rPr>
    </w:lvl>
    <w:lvl w:ilvl="1">
      <w:start w:val="1"/>
      <w:numFmt w:val="bullet"/>
      <w:lvlText w:val="o"/>
      <w:lvlJc w:val="start"/>
      <w:pPr>
        <w:ind w:start="1800" w:hanging="360"/>
      </w:pPr>
      <w:rPr>
        <w:rFonts w:ascii="Courier New" w:hAnsi="Courier New" w:cs="Courier New" w:hint="default"/>
        <w:rFonts w:cs="Courier New"/>
      </w:rPr>
    </w:lvl>
    <w:lvl w:ilvl="2">
      <w:start w:val="1"/>
      <w:numFmt w:val="bullet"/>
      <w:lvlText w:val=""/>
      <w:lvlJc w:val="start"/>
      <w:pPr>
        <w:ind w:start="2520" w:hanging="360"/>
      </w:pPr>
      <w:rPr>
        <w:rFonts w:ascii="Wingdings" w:hAnsi="Wingdings" w:cs="Wingdings" w:hint="default"/>
        <w:rFonts w:cs="Wingdings"/>
      </w:rPr>
    </w:lvl>
    <w:lvl w:ilvl="3">
      <w:start w:val="1"/>
      <w:numFmt w:val="bullet"/>
      <w:lvlText w:val=""/>
      <w:lvlJc w:val="start"/>
      <w:pPr>
        <w:ind w:start="3240" w:hanging="360"/>
      </w:pPr>
      <w:rPr>
        <w:rFonts w:ascii="Symbol" w:hAnsi="Symbol" w:cs="Symbol" w:hint="default"/>
        <w:sz w:val="22"/>
        <w:b w:val="false"/>
        <w:rFonts w:cs="Symbol"/>
      </w:rPr>
    </w:lvl>
    <w:lvl w:ilvl="4">
      <w:start w:val="1"/>
      <w:numFmt w:val="bullet"/>
      <w:lvlText w:val="o"/>
      <w:lvlJc w:val="start"/>
      <w:pPr>
        <w:ind w:start="3960" w:hanging="360"/>
      </w:pPr>
      <w:rPr>
        <w:rFonts w:ascii="Courier New" w:hAnsi="Courier New" w:cs="Courier New" w:hint="default"/>
        <w:rFonts w:cs="Courier New"/>
      </w:rPr>
    </w:lvl>
    <w:lvl w:ilvl="5">
      <w:start w:val="1"/>
      <w:numFmt w:val="bullet"/>
      <w:lvlText w:val=""/>
      <w:lvlJc w:val="start"/>
      <w:pPr>
        <w:ind w:start="4680" w:hanging="360"/>
      </w:pPr>
      <w:rPr>
        <w:rFonts w:ascii="Wingdings" w:hAnsi="Wingdings" w:cs="Wingdings" w:hint="default"/>
        <w:rFonts w:cs="Wingdings"/>
      </w:rPr>
    </w:lvl>
    <w:lvl w:ilvl="6">
      <w:start w:val="1"/>
      <w:numFmt w:val="bullet"/>
      <w:lvlText w:val=""/>
      <w:lvlJc w:val="start"/>
      <w:pPr>
        <w:ind w:start="5400" w:hanging="360"/>
      </w:pPr>
      <w:rPr>
        <w:rFonts w:ascii="Symbol" w:hAnsi="Symbol" w:cs="Symbol" w:hint="default"/>
        <w:sz w:val="22"/>
        <w:b w:val="false"/>
        <w:rFonts w:cs="Symbol"/>
      </w:rPr>
    </w:lvl>
    <w:lvl w:ilvl="7">
      <w:start w:val="1"/>
      <w:numFmt w:val="bullet"/>
      <w:lvlText w:val="o"/>
      <w:lvlJc w:val="start"/>
      <w:pPr>
        <w:ind w:start="6120" w:hanging="360"/>
      </w:pPr>
      <w:rPr>
        <w:rFonts w:ascii="Courier New" w:hAnsi="Courier New" w:cs="Courier New" w:hint="default"/>
        <w:rFonts w:cs="Courier New"/>
      </w:rPr>
    </w:lvl>
    <w:lvl w:ilvl="8">
      <w:start w:val="1"/>
      <w:numFmt w:val="bullet"/>
      <w:lvlText w:val=""/>
      <w:lvlJc w:val="start"/>
      <w:pPr>
        <w:ind w:start="6840" w:hanging="360"/>
      </w:pPr>
      <w:rPr>
        <w:rFonts w:ascii="Wingdings" w:hAnsi="Wingdings" w:cs="Wingdings" w:hint="default"/>
        <w:rFonts w:cs="Wingdings"/>
      </w:rPr>
    </w:lvl>
  </w:abstractNum>
  <w:abstractNum w:abstractNumId="7">
    <w:lvl w:ilvl="0">
      <w:start w:val="1"/>
      <w:numFmt w:val="bullet"/>
      <w:lvlText w:val=""/>
      <w:lvlJc w:val="start"/>
      <w:pPr>
        <w:ind w:start="1080" w:hanging="360"/>
      </w:pPr>
      <w:rPr>
        <w:rFonts w:ascii="Symbol" w:hAnsi="Symbol" w:cs="Symbol" w:hint="default"/>
        <w:sz w:val="22"/>
        <w:b w:val="false"/>
        <w:rFonts w:cs="Symbol"/>
      </w:rPr>
    </w:lvl>
    <w:lvl w:ilvl="1">
      <w:start w:val="1"/>
      <w:numFmt w:val="bullet"/>
      <w:lvlText w:val="o"/>
      <w:lvlJc w:val="start"/>
      <w:pPr>
        <w:ind w:start="1800" w:hanging="360"/>
      </w:pPr>
      <w:rPr>
        <w:rFonts w:ascii="Courier New" w:hAnsi="Courier New" w:cs="Courier New" w:hint="default"/>
        <w:rFonts w:cs="Courier New"/>
      </w:rPr>
    </w:lvl>
    <w:lvl w:ilvl="2">
      <w:start w:val="1"/>
      <w:numFmt w:val="bullet"/>
      <w:lvlText w:val=""/>
      <w:lvlJc w:val="start"/>
      <w:pPr>
        <w:ind w:start="2520" w:hanging="360"/>
      </w:pPr>
      <w:rPr>
        <w:rFonts w:ascii="Wingdings" w:hAnsi="Wingdings" w:cs="Wingdings" w:hint="default"/>
        <w:rFonts w:cs="Wingdings"/>
      </w:rPr>
    </w:lvl>
    <w:lvl w:ilvl="3">
      <w:start w:val="1"/>
      <w:numFmt w:val="bullet"/>
      <w:lvlText w:val=""/>
      <w:lvlJc w:val="start"/>
      <w:pPr>
        <w:ind w:start="3240" w:hanging="360"/>
      </w:pPr>
      <w:rPr>
        <w:rFonts w:ascii="Symbol" w:hAnsi="Symbol" w:cs="Symbol" w:hint="default"/>
        <w:sz w:val="22"/>
        <w:b w:val="false"/>
        <w:rFonts w:cs="Symbol"/>
      </w:rPr>
    </w:lvl>
    <w:lvl w:ilvl="4">
      <w:start w:val="1"/>
      <w:numFmt w:val="bullet"/>
      <w:lvlText w:val="o"/>
      <w:lvlJc w:val="start"/>
      <w:pPr>
        <w:ind w:start="3960" w:hanging="360"/>
      </w:pPr>
      <w:rPr>
        <w:rFonts w:ascii="Courier New" w:hAnsi="Courier New" w:cs="Courier New" w:hint="default"/>
        <w:rFonts w:cs="Courier New"/>
      </w:rPr>
    </w:lvl>
    <w:lvl w:ilvl="5">
      <w:start w:val="1"/>
      <w:numFmt w:val="bullet"/>
      <w:lvlText w:val=""/>
      <w:lvlJc w:val="start"/>
      <w:pPr>
        <w:ind w:start="4680" w:hanging="360"/>
      </w:pPr>
      <w:rPr>
        <w:rFonts w:ascii="Wingdings" w:hAnsi="Wingdings" w:cs="Wingdings" w:hint="default"/>
        <w:rFonts w:cs="Wingdings"/>
      </w:rPr>
    </w:lvl>
    <w:lvl w:ilvl="6">
      <w:start w:val="1"/>
      <w:numFmt w:val="bullet"/>
      <w:lvlText w:val=""/>
      <w:lvlJc w:val="start"/>
      <w:pPr>
        <w:ind w:start="5400" w:hanging="360"/>
      </w:pPr>
      <w:rPr>
        <w:rFonts w:ascii="Symbol" w:hAnsi="Symbol" w:cs="Symbol" w:hint="default"/>
        <w:sz w:val="22"/>
        <w:b w:val="false"/>
        <w:rFonts w:cs="Symbol"/>
      </w:rPr>
    </w:lvl>
    <w:lvl w:ilvl="7">
      <w:start w:val="1"/>
      <w:numFmt w:val="bullet"/>
      <w:lvlText w:val="o"/>
      <w:lvlJc w:val="start"/>
      <w:pPr>
        <w:ind w:start="6120" w:hanging="360"/>
      </w:pPr>
      <w:rPr>
        <w:rFonts w:ascii="Courier New" w:hAnsi="Courier New" w:cs="Courier New" w:hint="default"/>
        <w:rFonts w:cs="Courier New"/>
      </w:rPr>
    </w:lvl>
    <w:lvl w:ilvl="8">
      <w:start w:val="1"/>
      <w:numFmt w:val="bullet"/>
      <w:lvlText w:val=""/>
      <w:lvlJc w:val="start"/>
      <w:pPr>
        <w:ind w:start="6840" w:hanging="360"/>
      </w:pPr>
      <w:rPr>
        <w:rFonts w:ascii="Wingdings" w:hAnsi="Wingdings" w:cs="Wingdings" w:hint="default"/>
        <w:rFonts w:cs="Wingdings"/>
      </w:rPr>
    </w:lvl>
  </w:abstractNum>
  <w:abstractNum w:abstractNumId="8">
    <w:lvl w:ilvl="0">
      <w:start w:val="1"/>
      <w:numFmt w:val="bullet"/>
      <w:lvlText w:val=""/>
      <w:lvlJc w:val="start"/>
      <w:pPr>
        <w:ind w:start="1080" w:hanging="360"/>
      </w:pPr>
      <w:rPr>
        <w:rFonts w:ascii="Symbol" w:hAnsi="Symbol" w:cs="Symbol" w:hint="default"/>
        <w:sz w:val="22"/>
        <w:b w:val="false"/>
        <w:rFonts w:cs="Symbol"/>
      </w:rPr>
    </w:lvl>
    <w:lvl w:ilvl="1">
      <w:start w:val="1"/>
      <w:numFmt w:val="bullet"/>
      <w:lvlText w:val="o"/>
      <w:lvlJc w:val="start"/>
      <w:pPr>
        <w:ind w:start="1800" w:hanging="360"/>
      </w:pPr>
      <w:rPr>
        <w:rFonts w:ascii="Courier New" w:hAnsi="Courier New" w:cs="Courier New" w:hint="default"/>
        <w:rFonts w:cs="Courier New"/>
      </w:rPr>
    </w:lvl>
    <w:lvl w:ilvl="2">
      <w:start w:val="1"/>
      <w:numFmt w:val="bullet"/>
      <w:lvlText w:val=""/>
      <w:lvlJc w:val="start"/>
      <w:pPr>
        <w:ind w:start="2520" w:hanging="360"/>
      </w:pPr>
      <w:rPr>
        <w:rFonts w:ascii="Wingdings" w:hAnsi="Wingdings" w:cs="Wingdings" w:hint="default"/>
        <w:rFonts w:cs="Wingdings"/>
      </w:rPr>
    </w:lvl>
    <w:lvl w:ilvl="3">
      <w:start w:val="1"/>
      <w:numFmt w:val="bullet"/>
      <w:lvlText w:val=""/>
      <w:lvlJc w:val="start"/>
      <w:pPr>
        <w:ind w:start="3240" w:hanging="360"/>
      </w:pPr>
      <w:rPr>
        <w:rFonts w:ascii="Symbol" w:hAnsi="Symbol" w:cs="Symbol" w:hint="default"/>
        <w:sz w:val="22"/>
        <w:b w:val="false"/>
        <w:rFonts w:cs="Symbol"/>
      </w:rPr>
    </w:lvl>
    <w:lvl w:ilvl="4">
      <w:start w:val="1"/>
      <w:numFmt w:val="bullet"/>
      <w:lvlText w:val="o"/>
      <w:lvlJc w:val="start"/>
      <w:pPr>
        <w:ind w:start="3960" w:hanging="360"/>
      </w:pPr>
      <w:rPr>
        <w:rFonts w:ascii="Courier New" w:hAnsi="Courier New" w:cs="Courier New" w:hint="default"/>
        <w:rFonts w:cs="Courier New"/>
      </w:rPr>
    </w:lvl>
    <w:lvl w:ilvl="5">
      <w:start w:val="1"/>
      <w:numFmt w:val="bullet"/>
      <w:lvlText w:val=""/>
      <w:lvlJc w:val="start"/>
      <w:pPr>
        <w:ind w:start="4680" w:hanging="360"/>
      </w:pPr>
      <w:rPr>
        <w:rFonts w:ascii="Wingdings" w:hAnsi="Wingdings" w:cs="Wingdings" w:hint="default"/>
        <w:rFonts w:cs="Wingdings"/>
      </w:rPr>
    </w:lvl>
    <w:lvl w:ilvl="6">
      <w:start w:val="1"/>
      <w:numFmt w:val="bullet"/>
      <w:lvlText w:val=""/>
      <w:lvlJc w:val="start"/>
      <w:pPr>
        <w:ind w:start="5400" w:hanging="360"/>
      </w:pPr>
      <w:rPr>
        <w:rFonts w:ascii="Symbol" w:hAnsi="Symbol" w:cs="Symbol" w:hint="default"/>
        <w:sz w:val="22"/>
        <w:b w:val="false"/>
        <w:rFonts w:cs="Symbol"/>
      </w:rPr>
    </w:lvl>
    <w:lvl w:ilvl="7">
      <w:start w:val="1"/>
      <w:numFmt w:val="bullet"/>
      <w:lvlText w:val="o"/>
      <w:lvlJc w:val="start"/>
      <w:pPr>
        <w:ind w:start="6120" w:hanging="360"/>
      </w:pPr>
      <w:rPr>
        <w:rFonts w:ascii="Courier New" w:hAnsi="Courier New" w:cs="Courier New" w:hint="default"/>
        <w:rFonts w:cs="Courier New"/>
      </w:rPr>
    </w:lvl>
    <w:lvl w:ilvl="8">
      <w:start w:val="1"/>
      <w:numFmt w:val="bullet"/>
      <w:lvlText w:val=""/>
      <w:lvlJc w:val="start"/>
      <w:pPr>
        <w:ind w:start="6840" w:hanging="360"/>
      </w:pPr>
      <w:rPr>
        <w:rFonts w:ascii="Wingdings" w:hAnsi="Wingdings" w:cs="Wingdings" w:hint="default"/>
        <w:rFonts w:cs="Wingdings"/>
      </w:rPr>
    </w:lvl>
  </w:abstractNum>
  <w:abstractNum w:abstractNumId="9">
    <w:lvl w:ilvl="0">
      <w:start w:val="1"/>
      <w:numFmt w:val="decimal"/>
      <w:lvlText w:val="%1."/>
      <w:lvlJc w:val="start"/>
      <w:pPr>
        <w:ind w:start="720" w:hanging="360"/>
      </w:pPr>
    </w:lvl>
    <w:lvl w:ilvl="1">
      <w:start w:val="1"/>
      <w:numFmt w:val="lowerLetter"/>
      <w:lvlText w:val="%2."/>
      <w:lvlJc w:val="start"/>
      <w:pPr>
        <w:ind w:start="1440" w:hanging="360"/>
      </w:pPr>
    </w:lvl>
    <w:lvl w:ilvl="2">
      <w:start w:val="1"/>
      <w:numFmt w:val="lowerRoman"/>
      <w:lvlText w:val="%3."/>
      <w:lvlJc w:val="end"/>
      <w:pPr>
        <w:ind w:start="2160" w:hanging="180"/>
      </w:pPr>
    </w:lvl>
    <w:lvl w:ilvl="3">
      <w:start w:val="1"/>
      <w:numFmt w:val="decimal"/>
      <w:lvlText w:val="%4."/>
      <w:lvlJc w:val="start"/>
      <w:pPr>
        <w:ind w:start="2880" w:hanging="360"/>
      </w:pPr>
    </w:lvl>
    <w:lvl w:ilvl="4">
      <w:start w:val="1"/>
      <w:numFmt w:val="lowerLetter"/>
      <w:lvlText w:val="%5."/>
      <w:lvlJc w:val="start"/>
      <w:pPr>
        <w:ind w:start="3600" w:hanging="360"/>
      </w:pPr>
    </w:lvl>
    <w:lvl w:ilvl="5">
      <w:start w:val="1"/>
      <w:numFmt w:val="lowerRoman"/>
      <w:lvlText w:val="%6."/>
      <w:lvlJc w:val="end"/>
      <w:pPr>
        <w:ind w:start="4320" w:hanging="180"/>
      </w:pPr>
    </w:lvl>
    <w:lvl w:ilvl="6">
      <w:start w:val="1"/>
      <w:numFmt w:val="decimal"/>
      <w:lvlText w:val="%7."/>
      <w:lvlJc w:val="start"/>
      <w:pPr>
        <w:ind w:start="5040" w:hanging="360"/>
      </w:pPr>
    </w:lvl>
    <w:lvl w:ilvl="7">
      <w:start w:val="1"/>
      <w:numFmt w:val="lowerLetter"/>
      <w:lvlText w:val="%8."/>
      <w:lvlJc w:val="start"/>
      <w:pPr>
        <w:ind w:start="5760" w:hanging="360"/>
      </w:pPr>
    </w:lvl>
    <w:lvl w:ilvl="8">
      <w:start w:val="1"/>
      <w:numFmt w:val="lowerRoman"/>
      <w:lvlText w:val="%9."/>
      <w:lvlJc w:val="end"/>
      <w:pPr>
        <w:ind w:start="6480" w:hanging="180"/>
      </w:pPr>
    </w:lvl>
  </w:abstractNum>
  <w:abstractNum w:abstractNumId="10">
    <w:lvl w:ilvl="0">
      <w:start w:val="1"/>
      <w:numFmt w:val="bullet"/>
      <w:lvlText w:val=""/>
      <w:lvlJc w:val="start"/>
      <w:pPr>
        <w:ind w:start="1080" w:hanging="360"/>
      </w:pPr>
      <w:rPr>
        <w:rFonts w:ascii="Symbol" w:hAnsi="Symbol" w:cs="Symbol" w:hint="default"/>
        <w:sz w:val="22"/>
        <w:b w:val="false"/>
        <w:rFonts w:cs="Symbol"/>
      </w:rPr>
    </w:lvl>
    <w:lvl w:ilvl="1">
      <w:start w:val="1"/>
      <w:numFmt w:val="bullet"/>
      <w:lvlText w:val="o"/>
      <w:lvlJc w:val="start"/>
      <w:pPr>
        <w:ind w:start="1800" w:hanging="360"/>
      </w:pPr>
      <w:rPr>
        <w:rFonts w:ascii="Courier New" w:hAnsi="Courier New" w:cs="Courier New" w:hint="default"/>
        <w:rFonts w:cs="Courier New"/>
      </w:rPr>
    </w:lvl>
    <w:lvl w:ilvl="2">
      <w:start w:val="1"/>
      <w:numFmt w:val="bullet"/>
      <w:lvlText w:val=""/>
      <w:lvlJc w:val="start"/>
      <w:pPr>
        <w:ind w:start="2520" w:hanging="360"/>
      </w:pPr>
      <w:rPr>
        <w:rFonts w:ascii="Wingdings" w:hAnsi="Wingdings" w:cs="Wingdings" w:hint="default"/>
        <w:rFonts w:cs="Wingdings"/>
      </w:rPr>
    </w:lvl>
    <w:lvl w:ilvl="3">
      <w:start w:val="1"/>
      <w:numFmt w:val="bullet"/>
      <w:lvlText w:val=""/>
      <w:lvlJc w:val="start"/>
      <w:pPr>
        <w:ind w:start="3240" w:hanging="360"/>
      </w:pPr>
      <w:rPr>
        <w:rFonts w:ascii="Symbol" w:hAnsi="Symbol" w:cs="Symbol" w:hint="default"/>
        <w:sz w:val="22"/>
        <w:b w:val="false"/>
        <w:rFonts w:cs="Symbol"/>
      </w:rPr>
    </w:lvl>
    <w:lvl w:ilvl="4">
      <w:start w:val="1"/>
      <w:numFmt w:val="bullet"/>
      <w:lvlText w:val="o"/>
      <w:lvlJc w:val="start"/>
      <w:pPr>
        <w:ind w:start="3960" w:hanging="360"/>
      </w:pPr>
      <w:rPr>
        <w:rFonts w:ascii="Courier New" w:hAnsi="Courier New" w:cs="Courier New" w:hint="default"/>
        <w:rFonts w:cs="Courier New"/>
      </w:rPr>
    </w:lvl>
    <w:lvl w:ilvl="5">
      <w:start w:val="1"/>
      <w:numFmt w:val="bullet"/>
      <w:lvlText w:val=""/>
      <w:lvlJc w:val="start"/>
      <w:pPr>
        <w:ind w:start="4680" w:hanging="360"/>
      </w:pPr>
      <w:rPr>
        <w:rFonts w:ascii="Wingdings" w:hAnsi="Wingdings" w:cs="Wingdings" w:hint="default"/>
        <w:rFonts w:cs="Wingdings"/>
      </w:rPr>
    </w:lvl>
    <w:lvl w:ilvl="6">
      <w:start w:val="1"/>
      <w:numFmt w:val="bullet"/>
      <w:lvlText w:val=""/>
      <w:lvlJc w:val="start"/>
      <w:pPr>
        <w:ind w:start="5400" w:hanging="360"/>
      </w:pPr>
      <w:rPr>
        <w:rFonts w:ascii="Symbol" w:hAnsi="Symbol" w:cs="Symbol" w:hint="default"/>
        <w:sz w:val="22"/>
        <w:b w:val="false"/>
        <w:rFonts w:cs="Symbol"/>
      </w:rPr>
    </w:lvl>
    <w:lvl w:ilvl="7">
      <w:start w:val="1"/>
      <w:numFmt w:val="bullet"/>
      <w:lvlText w:val="o"/>
      <w:lvlJc w:val="start"/>
      <w:pPr>
        <w:ind w:start="6120" w:hanging="360"/>
      </w:pPr>
      <w:rPr>
        <w:rFonts w:ascii="Courier New" w:hAnsi="Courier New" w:cs="Courier New" w:hint="default"/>
        <w:rFonts w:cs="Courier New"/>
      </w:rPr>
    </w:lvl>
    <w:lvl w:ilvl="8">
      <w:start w:val="1"/>
      <w:numFmt w:val="bullet"/>
      <w:lvlText w:val=""/>
      <w:lvlJc w:val="start"/>
      <w:pPr>
        <w:ind w:start="6840" w:hanging="360"/>
      </w:pPr>
      <w:rPr>
        <w:rFonts w:ascii="Wingdings" w:hAnsi="Wingdings" w:cs="Wingdings" w:hint="default"/>
        <w:rFonts w:cs="Wingdings"/>
      </w:rPr>
    </w:lvl>
  </w:abstractNum>
  <w:abstractNum w:abstractNumId="11">
    <w:lvl w:ilvl="0">
      <w:start w:val="1"/>
      <w:numFmt w:val="bullet"/>
      <w:lvlText w:val=""/>
      <w:lvlJc w:val="start"/>
      <w:pPr>
        <w:ind w:start="720" w:hanging="360"/>
      </w:pPr>
      <w:rPr>
        <w:rFonts w:ascii="Symbol" w:hAnsi="Symbol" w:cs="Symbol" w:hint="default"/>
        <w:sz w:val="22"/>
        <w:b w:val="false"/>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sz w:val="22"/>
        <w:b w:val="false"/>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sz w:val="22"/>
        <w:b w:val="false"/>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12">
    <w:lvl w:ilvl="0">
      <w:start w:val="1"/>
      <w:numFmt w:val="bullet"/>
      <w:lvlText w:val=""/>
      <w:lvlJc w:val="start"/>
      <w:pPr>
        <w:tabs>
          <w:tab w:val="num" w:pos="720"/>
        </w:tabs>
        <w:ind w:start="720" w:hanging="360"/>
      </w:pPr>
      <w:rPr>
        <w:rFonts w:ascii="Symbol" w:hAnsi="Symbol" w:cs="Symbol" w:hint="default"/>
        <w:sz w:val="22"/>
        <w:b w:val="false"/>
        <w:rFonts w:cs="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sz w:val="22"/>
        <w:b w:val="false"/>
        <w:rFonts w:cs="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sz w:val="22"/>
        <w:b w:val="false"/>
        <w:rFonts w:cs="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13">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igitalSansEF" w:hAnsi="DigitalSansEF" w:eastAsia="Calibri" w:cs="Tahoma"/>
        <w:color w:val="002C5D"/>
        <w:szCs w:val="22"/>
        <w:lang w:val="es-ES" w:eastAsia="en-US" w:bidi="ar-SA"/>
      </w:rPr>
    </w:rPrDefault>
    <w:pPrDefault>
      <w:pPr/>
    </w:pPrDefault>
  </w:docDefaults>
  <w:style w:type="paragraph" w:styleId="Normal">
    <w:name w:val="Normal"/>
    <w:qFormat/>
    <w:pPr>
      <w:widowControl/>
      <w:suppressAutoHyphens w:val="true"/>
      <w:kinsoku w:val="true"/>
      <w:overflowPunct w:val="true"/>
      <w:autoSpaceDE w:val="true"/>
      <w:bidi w:val="0"/>
      <w:spacing w:before="120" w:after="120"/>
      <w:jc w:val="both"/>
    </w:pPr>
    <w:rPr>
      <w:rFonts w:ascii="Calibri" w:hAnsi="Calibri" w:eastAsia="Calibri" w:cs="Tahoma"/>
      <w:color w:val="00000A"/>
      <w:sz w:val="22"/>
      <w:szCs w:val="22"/>
      <w:lang w:val="es-ES" w:eastAsia="en-US" w:bidi="ar-SA"/>
    </w:rPr>
  </w:style>
  <w:style w:type="character" w:styleId="DefaultParagraphFont">
    <w:name w:val="Default Paragraph Font"/>
    <w:qFormat/>
    <w:rPr/>
  </w:style>
  <w:style w:type="character" w:styleId="Ttulo1Car">
    <w:name w:val="Título 1 Car"/>
    <w:basedOn w:val="DefaultParagraphFont"/>
    <w:qFormat/>
    <w:rPr>
      <w:rFonts w:ascii="Cambria" w:hAnsi="Cambria" w:eastAsia="ＭＳ ゴシック" w:cs="Tahoma"/>
      <w:b/>
      <w:bCs/>
      <w:color w:val="365F91"/>
      <w:sz w:val="28"/>
      <w:szCs w:val="28"/>
    </w:rPr>
  </w:style>
  <w:style w:type="character" w:styleId="Ttulo2Car">
    <w:name w:val="Título 2 Car"/>
    <w:basedOn w:val="DefaultParagraphFont"/>
    <w:qFormat/>
    <w:rPr>
      <w:rFonts w:ascii="Cambria" w:hAnsi="Cambria" w:eastAsia="ＭＳ ゴシック" w:cs="Tahoma"/>
      <w:b/>
      <w:bCs/>
      <w:color w:val="4F81BD"/>
      <w:sz w:val="26"/>
      <w:szCs w:val="26"/>
    </w:rPr>
  </w:style>
  <w:style w:type="character" w:styleId="PuestoCar">
    <w:name w:val="Puesto Car"/>
    <w:basedOn w:val="DefaultParagraphFont"/>
    <w:qFormat/>
    <w:rPr>
      <w:rFonts w:ascii="Cambria" w:hAnsi="Cambria" w:eastAsia="ＭＳ ゴシック" w:cs="Tahoma"/>
      <w:color w:val="17365D"/>
      <w:spacing w:val="5"/>
      <w:sz w:val="52"/>
      <w:szCs w:val="52"/>
    </w:rPr>
  </w:style>
  <w:style w:type="character" w:styleId="Strong">
    <w:name w:val="Strong"/>
    <w:basedOn w:val="DefaultParagraphFont"/>
    <w:qFormat/>
    <w:rPr>
      <w:b/>
      <w:bCs/>
    </w:rPr>
  </w:style>
  <w:style w:type="character" w:styleId="EncabezadoCar">
    <w:name w:val="Encabezado Car"/>
    <w:basedOn w:val="DefaultParagraphFont"/>
    <w:qFormat/>
    <w:rPr/>
  </w:style>
  <w:style w:type="character" w:styleId="PiedepginaCar">
    <w:name w:val="Pie de página Car"/>
    <w:basedOn w:val="DefaultParagraphFont"/>
    <w:qFormat/>
    <w:rPr/>
  </w:style>
  <w:style w:type="character" w:styleId="TextodegloboCar">
    <w:name w:val="Texto de globo Car"/>
    <w:basedOn w:val="DefaultParagraphFont"/>
    <w:qFormat/>
    <w:rPr>
      <w:rFonts w:ascii="Tahoma" w:hAnsi="Tahoma" w:cs="Tahoma"/>
      <w:sz w:val="16"/>
      <w:szCs w:val="16"/>
    </w:rPr>
  </w:style>
  <w:style w:type="character" w:styleId="EnlacedeInternet">
    <w:name w:val="Enlace de Internet"/>
    <w:basedOn w:val="DefaultParagraphFont"/>
    <w:qFormat/>
    <w:rPr>
      <w:color w:val="0000FF"/>
      <w:u w:val="single"/>
      <w:lang w:val="zxx" w:eastAsia="zxx" w:bidi="zxx"/>
    </w:rPr>
  </w:style>
  <w:style w:type="character" w:styleId="Ttulo3Car">
    <w:name w:val="Título 3 Car"/>
    <w:basedOn w:val="DefaultParagraphFont"/>
    <w:qFormat/>
    <w:rPr>
      <w:rFonts w:ascii="Cambria" w:hAnsi="Cambria" w:eastAsia="ＭＳ ゴシック" w:cs="Tahoma"/>
      <w:color w:val="243F60"/>
      <w:sz w:val="24"/>
      <w:szCs w:val="24"/>
    </w:rPr>
  </w:style>
  <w:style w:type="character" w:styleId="Pagenumber">
    <w:name w:val="page number"/>
    <w:basedOn w:val="DefaultParagraphFont"/>
    <w:qFormat/>
    <w:rPr/>
  </w:style>
  <w:style w:type="character" w:styleId="Annotationreference">
    <w:name w:val="annotation reference"/>
    <w:basedOn w:val="DefaultParagraphFont"/>
    <w:qFormat/>
    <w:rPr>
      <w:sz w:val="16"/>
      <w:szCs w:val="16"/>
    </w:rPr>
  </w:style>
  <w:style w:type="character" w:styleId="TextocomentarioCar">
    <w:name w:val="Texto comentario Car"/>
    <w:basedOn w:val="DefaultParagraphFont"/>
    <w:qFormat/>
    <w:rPr>
      <w:rFonts w:ascii="Calibri" w:hAnsi="Calibri"/>
      <w:color w:val="00000A"/>
      <w:sz w:val="20"/>
      <w:szCs w:val="20"/>
    </w:rPr>
  </w:style>
  <w:style w:type="character" w:styleId="AsuntodelcomentarioCar">
    <w:name w:val="Asunto del comentario Car"/>
    <w:basedOn w:val="TextocomentarioCar"/>
    <w:qFormat/>
    <w:rPr>
      <w:rFonts w:ascii="Calibri" w:hAnsi="Calibri"/>
      <w:b/>
      <w:bCs/>
      <w:color w:val="00000A"/>
      <w:sz w:val="20"/>
      <w:szCs w:val="20"/>
    </w:rPr>
  </w:style>
  <w:style w:type="character" w:styleId="Textoindependiente2Car">
    <w:name w:val="Texto independiente 2 Car"/>
    <w:basedOn w:val="DefaultParagraphFont"/>
    <w:qFormat/>
    <w:rPr>
      <w:rFonts w:ascii="Arial" w:hAnsi="Arial" w:eastAsia="Times New Roman" w:cs="Arial"/>
      <w:color w:val="000000"/>
      <w:sz w:val="24"/>
      <w:szCs w:val="20"/>
      <w:lang w:val="en-GB"/>
    </w:rPr>
  </w:style>
  <w:style w:type="character" w:styleId="Destacado">
    <w:name w:val="Destacado"/>
    <w:basedOn w:val="DefaultParagraphFont"/>
    <w:qFormat/>
    <w:rPr>
      <w:i/>
      <w:iCs/>
    </w:rPr>
  </w:style>
  <w:style w:type="character" w:styleId="Appleconvertedspace">
    <w:name w:val="apple-converted-space"/>
    <w:basedOn w:val="DefaultParagraphFont"/>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EnlacedeInternetvisitado">
    <w:name w:val="Enlace de Internet visitado"/>
    <w:qFormat/>
    <w:rPr>
      <w:color w:val="800000"/>
      <w:u w:val="single"/>
      <w:lang w:val="zxx" w:eastAsia="zxx" w:bidi="zxx"/>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character" w:styleId="Enlacedelndice">
    <w:name w:val="Enlace del índice"/>
    <w:qFormat/>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ascii="Calibri" w:hAnsi="Calibri"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OpenSymbol"/>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OpenSymbol"/>
    </w:rPr>
  </w:style>
  <w:style w:type="character" w:styleId="ListLabel444">
    <w:name w:val="ListLabel 444"/>
    <w:qFormat/>
    <w:rPr>
      <w:rFonts w:ascii="Arial" w:hAnsi="Arial" w:cs="Symbol"/>
      <w:b w:val="false"/>
      <w:sz w:val="22"/>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OpenSymbol"/>
    </w:rPr>
  </w:style>
  <w:style w:type="character" w:styleId="InternetLink">
    <w:name w:val="Internet 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Encabezado1">
    <w:name w:val="Encabezado 1"/>
    <w:basedOn w:val="Normal"/>
    <w:next w:val="Normal"/>
    <w:qFormat/>
    <w:pPr>
      <w:keepNext/>
      <w:keepLines/>
      <w:numPr>
        <w:ilvl w:val="0"/>
        <w:numId w:val="0"/>
      </w:numPr>
      <w:spacing w:before="480" w:after="120"/>
      <w:outlineLvl w:val="0"/>
    </w:pPr>
    <w:rPr>
      <w:rFonts w:ascii="Cambria" w:hAnsi="Cambria" w:eastAsia="ＭＳ ゴシック" w:cs="Tahoma"/>
      <w:b/>
      <w:bCs/>
      <w:color w:val="365F91"/>
      <w:sz w:val="28"/>
      <w:szCs w:val="28"/>
    </w:rPr>
  </w:style>
  <w:style w:type="paragraph" w:styleId="Encabezado2">
    <w:name w:val="Encabezado 2"/>
    <w:basedOn w:val="Normal"/>
    <w:next w:val="Normal"/>
    <w:qFormat/>
    <w:pPr>
      <w:keepNext/>
      <w:keepLines/>
      <w:numPr>
        <w:ilvl w:val="0"/>
        <w:numId w:val="0"/>
      </w:numPr>
      <w:spacing w:before="200" w:after="120"/>
      <w:outlineLvl w:val="1"/>
    </w:pPr>
    <w:rPr>
      <w:rFonts w:ascii="Cambria" w:hAnsi="Cambria" w:eastAsia="ＭＳ ゴシック" w:cs="Tahoma"/>
      <w:b/>
      <w:bCs/>
      <w:color w:val="4F81BD"/>
      <w:sz w:val="26"/>
      <w:szCs w:val="26"/>
    </w:rPr>
  </w:style>
  <w:style w:type="paragraph" w:styleId="Encabezado3">
    <w:name w:val="Encabezado 3"/>
    <w:basedOn w:val="Normal"/>
    <w:next w:val="Normal"/>
    <w:qFormat/>
    <w:pPr>
      <w:keepNext/>
      <w:keepLines/>
      <w:numPr>
        <w:ilvl w:val="0"/>
        <w:numId w:val="0"/>
      </w:numPr>
      <w:spacing w:before="40" w:after="120"/>
      <w:outlineLvl w:val="2"/>
    </w:pPr>
    <w:rPr>
      <w:rFonts w:ascii="Cambria" w:hAnsi="Cambria" w:eastAsia="ＭＳ ゴシック" w:cs="Tahoma"/>
      <w:color w:val="243F60"/>
      <w:sz w:val="24"/>
      <w:szCs w:val="24"/>
    </w:rPr>
  </w:style>
  <w:style w:type="paragraph" w:styleId="Encabezado">
    <w:name w:val="Encabezado"/>
    <w:basedOn w:val="Normal"/>
    <w:qFormat/>
    <w:pPr>
      <w:keepNext/>
      <w:spacing w:before="240" w:after="120"/>
    </w:pPr>
    <w:rPr>
      <w:rFonts w:ascii="Liberation Sans" w:hAnsi="Liberation Sans" w:eastAsia="Noto Sans CJK SC Regular" w:cs="FreeSans"/>
      <w:sz w:val="28"/>
      <w:szCs w:val="28"/>
    </w:rPr>
  </w:style>
  <w:style w:type="paragraph" w:styleId="Cuerpodetexto">
    <w:name w:val="Cuerpo de texto"/>
    <w:basedOn w:val="Normal"/>
    <w:qFormat/>
    <w:pPr>
      <w:spacing w:lineRule="auto" w:line="288" w:before="0" w:after="140"/>
    </w:pPr>
    <w:rPr/>
  </w:style>
  <w:style w:type="paragraph" w:styleId="Lista">
    <w:name w:val="Lista"/>
    <w:basedOn w:val="Cuerpodetexto"/>
    <w:qFormat/>
    <w:pPr/>
    <w:rPr>
      <w:rFonts w:ascii="Calibri" w:hAnsi="Calibri" w:cs="FreeSans"/>
    </w:rPr>
  </w:style>
  <w:style w:type="paragraph" w:styleId="Pie">
    <w:name w:val="Pie"/>
    <w:basedOn w:val="Normal"/>
    <w:qFormat/>
    <w:pPr>
      <w:suppressLineNumbers/>
      <w:spacing w:before="120" w:after="120"/>
    </w:pPr>
    <w:rPr>
      <w:rFonts w:ascii="Calibri" w:hAnsi="Calibri" w:cs="FreeSans"/>
      <w:i/>
      <w:iCs/>
      <w:sz w:val="24"/>
      <w:szCs w:val="24"/>
    </w:rPr>
  </w:style>
  <w:style w:type="paragraph" w:styleId="Ndice">
    <w:name w:val="Índice"/>
    <w:basedOn w:val="Normal"/>
    <w:qFormat/>
    <w:pPr>
      <w:suppressLineNumbers/>
    </w:pPr>
    <w:rPr>
      <w:rFonts w:ascii="Calibri" w:hAnsi="Calibri" w:cs="FreeSans"/>
    </w:rPr>
  </w:style>
  <w:style w:type="paragraph" w:styleId="Ttulo">
    <w:name w:val="Título"/>
    <w:basedOn w:val="Normal"/>
    <w:next w:val="Normal"/>
    <w:qFormat/>
    <w:pPr>
      <w:pBdr>
        <w:bottom w:val="single" w:sz="8" w:space="4" w:color="4F81BD"/>
      </w:pBdr>
      <w:spacing w:before="120" w:after="300"/>
      <w:contextualSpacing/>
    </w:pPr>
    <w:rPr>
      <w:rFonts w:ascii="Cambria" w:hAnsi="Cambria" w:eastAsia="ＭＳ ゴシック" w:cs="Tahoma"/>
      <w:color w:val="17365D"/>
      <w:spacing w:val="5"/>
      <w:sz w:val="52"/>
      <w:szCs w:val="52"/>
    </w:rPr>
  </w:style>
  <w:style w:type="paragraph" w:styleId="ListParagraph">
    <w:name w:val="List Paragraph"/>
    <w:basedOn w:val="Normal"/>
    <w:qFormat/>
    <w:pPr>
      <w:spacing w:before="120" w:after="120"/>
      <w:ind w:start="720" w:end="0" w:hanging="0"/>
      <w:contextualSpacing/>
    </w:pPr>
    <w:rPr/>
  </w:style>
  <w:style w:type="paragraph" w:styleId="Encabezamiento">
    <w:name w:val="Encabezamiento"/>
    <w:basedOn w:val="Normal"/>
    <w:qFormat/>
    <w:pPr>
      <w:tabs>
        <w:tab w:val="center" w:pos="4252" w:leader="none"/>
        <w:tab w:val="right" w:pos="8504" w:leader="none"/>
      </w:tabs>
    </w:pPr>
    <w:rPr/>
  </w:style>
  <w:style w:type="paragraph" w:styleId="Piedepgina">
    <w:name w:val="Pie de página"/>
    <w:basedOn w:val="Normal"/>
    <w:qFormat/>
    <w:pPr>
      <w:tabs>
        <w:tab w:val="center" w:pos="4252" w:leader="none"/>
        <w:tab w:val="right" w:pos="8504" w:leader="none"/>
      </w:tabs>
    </w:pPr>
    <w:rPr/>
  </w:style>
  <w:style w:type="paragraph" w:styleId="BalloonText">
    <w:name w:val="Balloon Text"/>
    <w:basedOn w:val="Normal"/>
    <w:qFormat/>
    <w:pPr/>
    <w:rPr>
      <w:rFonts w:ascii="Tahoma" w:hAnsi="Tahoma" w:cs="Tahoma"/>
      <w:sz w:val="16"/>
      <w:szCs w:val="16"/>
    </w:rPr>
  </w:style>
  <w:style w:type="paragraph" w:styleId="Ndice1">
    <w:name w:val="Índice 1"/>
    <w:basedOn w:val="Normal"/>
    <w:next w:val="Normal"/>
    <w:autoRedefine/>
    <w:qFormat/>
    <w:pPr>
      <w:spacing w:before="120" w:after="100"/>
    </w:pPr>
    <w:rPr>
      <w:rFonts w:eastAsia="ＭＳ 明朝" w:cs="Tahoma"/>
      <w:sz w:val="24"/>
      <w:szCs w:val="24"/>
      <w:lang w:eastAsia="es-ES"/>
    </w:rPr>
  </w:style>
  <w:style w:type="paragraph" w:styleId="Ndice2">
    <w:name w:val="Índice 2"/>
    <w:basedOn w:val="Normal"/>
    <w:next w:val="Normal"/>
    <w:autoRedefine/>
    <w:qFormat/>
    <w:pPr>
      <w:ind w:start="240" w:end="0" w:hanging="0"/>
    </w:pPr>
    <w:rPr>
      <w:rFonts w:eastAsia="ＭＳ 明朝" w:cs="Tahoma"/>
      <w:sz w:val="24"/>
      <w:szCs w:val="24"/>
      <w:lang w:eastAsia="es-ES"/>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Encabezadodelndice">
    <w:name w:val="Encabezado del índice"/>
    <w:basedOn w:val="Encabezado1"/>
    <w:next w:val="Normal"/>
    <w:qFormat/>
    <w:pPr>
      <w:spacing w:lineRule="auto" w:line="259" w:before="240" w:after="0"/>
      <w:jc w:val="start"/>
    </w:pPr>
    <w:rPr>
      <w:b w:val="false"/>
      <w:bCs w:val="false"/>
      <w:sz w:val="32"/>
      <w:szCs w:val="32"/>
      <w:lang w:eastAsia="es-ES"/>
    </w:rPr>
  </w:style>
  <w:style w:type="paragraph" w:styleId="BodyText2">
    <w:name w:val="Body Text 2"/>
    <w:basedOn w:val="Normal"/>
    <w:qFormat/>
    <w:pPr>
      <w:spacing w:before="0" w:after="0"/>
    </w:pPr>
    <w:rPr>
      <w:rFonts w:ascii="Arial" w:hAnsi="Arial" w:eastAsia="Times New Roman" w:cs="Arial"/>
      <w:color w:val="000000"/>
      <w:sz w:val="24"/>
      <w:szCs w:val="20"/>
      <w:lang w:val="en-GB"/>
    </w:rPr>
  </w:style>
  <w:style w:type="paragraph" w:styleId="Header">
    <w:name w:val="Header"/>
    <w:basedOn w:val="Normal"/>
    <w:pPr/>
    <w:rPr/>
  </w:style>
  <w:style w:type="paragraph" w:styleId="Footer">
    <w:name w:val="Footer"/>
    <w:basedOn w:val="Normal"/>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Template>
  <TotalTime>245</TotalTime>
  <Application>LibreOffice/5.0.4.2$MacOSX_X86_64 LibreOffice_project/2b9802c1994aa0b7dc6079e128979269cf95bc78</Application>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2016-06-28T14:27:00Z</dcterms:created>
  <dc:creator>NURIA LLEDÓ</dc:creator>
  <dc:language>es-ES</dc:language>
  <cp:lastPrinted>2016-07-01T10:19:00Z</cp:lastPrinted>
  <dcterms:modified xsi:type="dcterms:W3CDTF">2016-12-12T16:54:35Z</dcterms:modified>
  <cp:revision>13</cp:revision>
</cp:coreProperties>
</file>